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media/image1.jpeg" ContentType="image/jpeg"/>
  <Override PartName="/word/settings.xml" ContentType="application/vnd.openxmlformats-officedocument.wordprocessingml.settings+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word/_rels/document.xml.rels" ContentType="application/vnd.openxmlformats-package.relationships+xml"/>
  <Override PartName="/word/_rels/header1.xml.rels" ContentType="application/vnd.openxmlformats-package.relationships+xml"/>
  <Override PartName="/_rels/.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numPr>
          <w:ilvl w:val="0"/>
          <w:numId w:val="0"/>
        </w:numPr>
        <w:suppressAutoHyphens w:val="false"/>
        <w:spacing w:lineRule="auto" w:line="240"/>
        <w:ind w:left="0" w:right="0" w:hanging="0"/>
        <w:jc w:val="center"/>
        <w:rPr>
          <w:rFonts w:ascii="Verdana" w:hAnsi="Verdana"/>
          <w:sz w:val="20"/>
          <w:szCs w:val="20"/>
        </w:rPr>
      </w:pPr>
      <w:r>
        <w:rPr>
          <w:rFonts w:ascii="Verdana" w:hAnsi="Verdana"/>
          <w:b/>
          <w:bCs/>
          <w:color w:val="000000"/>
          <w:sz w:val="20"/>
          <w:szCs w:val="20"/>
        </w:rPr>
        <w:t>PE 028 – ANEXO I -</w:t>
      </w:r>
      <w:r>
        <w:rPr>
          <w:rFonts w:ascii="Verdana" w:hAnsi="Verdana"/>
          <w:b/>
          <w:bCs/>
          <w:color w:val="000000"/>
          <w:sz w:val="20"/>
          <w:szCs w:val="20"/>
        </w:rPr>
        <w:t xml:space="preserve"> TERMO DE REFERÊNCIA – LEI 14.133/21</w:t>
      </w:r>
    </w:p>
    <w:p>
      <w:pPr>
        <w:pStyle w:val="Normal"/>
        <w:spacing w:lineRule="auto" w:line="240"/>
        <w:jc w:val="center"/>
        <w:rPr>
          <w:rFonts w:ascii="Verdana" w:hAnsi="Verdana" w:cs="Arial"/>
          <w:b/>
          <w:sz w:val="20"/>
          <w:szCs w:val="20"/>
          <w:u w:val="single"/>
        </w:rPr>
      </w:pPr>
      <w:r>
        <w:rPr>
          <w:rFonts w:cs="Arial" w:ascii="Verdana" w:hAnsi="Verdana"/>
          <w:b/>
          <w:sz w:val="20"/>
          <w:szCs w:val="20"/>
          <w:u w:val="single"/>
        </w:rPr>
      </w:r>
    </w:p>
    <w:p>
      <w:pPr>
        <w:pStyle w:val="Normal"/>
        <w:spacing w:lineRule="auto" w:line="240"/>
        <w:jc w:val="center"/>
        <w:rPr>
          <w:rFonts w:ascii="Verdana" w:hAnsi="Verdana"/>
          <w:sz w:val="20"/>
          <w:szCs w:val="20"/>
        </w:rPr>
      </w:pPr>
      <w:r>
        <w:rPr>
          <w:rFonts w:ascii="Verdana" w:hAnsi="Verdana"/>
          <w:b/>
          <w:bCs/>
          <w:iCs/>
          <w:color w:val="000000"/>
          <w:sz w:val="20"/>
          <w:szCs w:val="20"/>
        </w:rPr>
        <w:t xml:space="preserve">REGISTRO DE PREÇOS – </w:t>
      </w:r>
      <w:r>
        <w:rPr>
          <w:rFonts w:eastAsia="Times New Roman" w:cs="Times New Roman" w:ascii="Verdana" w:hAnsi="Verdana"/>
          <w:b w:val="false"/>
          <w:bCs w:val="false"/>
          <w:iCs/>
          <w:color w:val="000000"/>
          <w:sz w:val="20"/>
          <w:szCs w:val="20"/>
          <w:u w:val="none"/>
        </w:rPr>
        <w:t xml:space="preserve"> </w:t>
      </w:r>
      <w:r>
        <w:rPr>
          <w:rFonts w:eastAsia="Times New Roman" w:cs="Arial" w:ascii="Verdana" w:hAnsi="Verdana"/>
          <w:b w:val="false"/>
          <w:bCs w:val="false"/>
          <w:iCs/>
          <w:color w:val="000000"/>
          <w:sz w:val="20"/>
          <w:szCs w:val="20"/>
          <w:u w:val="none"/>
        </w:rPr>
        <w:t>AQUISIÇÃO DE TUBOS DESCARTÁVEIS DE LABORATÓRIO.</w:t>
      </w:r>
    </w:p>
    <w:p>
      <w:pPr>
        <w:pStyle w:val="Normal"/>
        <w:spacing w:lineRule="auto" w:line="240"/>
        <w:jc w:val="center"/>
        <w:rPr>
          <w:rFonts w:ascii="Verdana" w:hAnsi="Verdana" w:cs="Arial"/>
          <w:b/>
          <w:sz w:val="20"/>
          <w:szCs w:val="20"/>
          <w:u w:val="single"/>
        </w:rPr>
      </w:pPr>
      <w:r>
        <w:rPr>
          <w:rFonts w:cs="Arial" w:ascii="Verdana" w:hAnsi="Verdana"/>
          <w:b/>
          <w:sz w:val="20"/>
          <w:szCs w:val="20"/>
          <w:u w:val="single"/>
        </w:rPr>
      </w:r>
    </w:p>
    <w:p>
      <w:pPr>
        <w:pStyle w:val="Nivel1"/>
        <w:spacing w:lineRule="auto" w:line="240" w:before="0" w:after="0"/>
        <w:ind w:left="0" w:right="0" w:hanging="0"/>
        <w:rPr>
          <w:rFonts w:ascii="Verdana" w:hAnsi="Verdana"/>
          <w:sz w:val="20"/>
          <w:szCs w:val="20"/>
        </w:rPr>
      </w:pPr>
      <w:r>
        <w:rPr>
          <w:rFonts w:cs="Times New Roman" w:ascii="Verdana" w:hAnsi="Verdana"/>
          <w:bCs/>
          <w:sz w:val="20"/>
          <w:szCs w:val="20"/>
        </w:rPr>
        <w:t>1. DAS CONDIÇÕES GERAIS DA AQUISIÇÃO</w:t>
      </w:r>
    </w:p>
    <w:p>
      <w:pPr>
        <w:pStyle w:val="ListParagraph"/>
        <w:tabs>
          <w:tab w:val="clear" w:pos="708"/>
          <w:tab w:val="left" w:pos="0" w:leader="none"/>
        </w:tabs>
        <w:suppressAutoHyphens w:val="false"/>
        <w:spacing w:lineRule="auto" w:line="240"/>
        <w:ind w:left="0" w:right="0" w:hanging="0"/>
        <w:jc w:val="both"/>
        <w:rPr>
          <w:rFonts w:ascii="Verdana" w:hAnsi="Verdana"/>
          <w:sz w:val="20"/>
          <w:szCs w:val="20"/>
        </w:rPr>
      </w:pPr>
      <w:r>
        <w:rPr>
          <w:rFonts w:ascii="Verdana" w:hAnsi="Verdana"/>
          <w:b w:val="false"/>
          <w:bCs w:val="false"/>
          <w:iCs/>
          <w:sz w:val="20"/>
          <w:szCs w:val="20"/>
        </w:rPr>
        <w:t>1.1 Abertura de Processo Licitatório  - Registro de preços</w:t>
      </w:r>
      <w:r>
        <w:rPr>
          <w:rFonts w:ascii="Verdana" w:hAnsi="Verdana"/>
          <w:b/>
          <w:bCs/>
          <w:iCs/>
          <w:sz w:val="20"/>
          <w:szCs w:val="20"/>
        </w:rPr>
        <w:t xml:space="preserve"> </w:t>
      </w:r>
      <w:r>
        <w:rPr>
          <w:rFonts w:ascii="Verdana" w:hAnsi="Verdana"/>
          <w:iCs/>
          <w:sz w:val="20"/>
          <w:szCs w:val="20"/>
        </w:rPr>
        <w:t xml:space="preserve">para aquisição de tubos descartáveis de laboratório para atender as necessidades do Laboratório Público Municipal </w:t>
      </w:r>
      <w:r>
        <w:rPr>
          <w:rFonts w:eastAsia="Times New Roman" w:cs="Times New Roman" w:ascii="Verdana" w:hAnsi="Verdana"/>
          <w:iCs/>
          <w:color w:val="000000"/>
          <w:sz w:val="20"/>
          <w:szCs w:val="20"/>
        </w:rPr>
        <w:t>da Secretaria Municipal de Saúde dessa municipalidade.</w:t>
      </w:r>
    </w:p>
    <w:tbl>
      <w:tblPr>
        <w:tblW w:w="9281" w:type="dxa"/>
        <w:jc w:val="center"/>
        <w:tblInd w:w="0" w:type="dxa"/>
        <w:tblLayout w:type="fixed"/>
        <w:tblCellMar>
          <w:top w:w="0" w:type="dxa"/>
          <w:left w:w="70" w:type="dxa"/>
          <w:bottom w:w="0" w:type="dxa"/>
          <w:right w:w="70" w:type="dxa"/>
        </w:tblCellMar>
      </w:tblPr>
      <w:tblGrid>
        <w:gridCol w:w="680"/>
        <w:gridCol w:w="3680"/>
        <w:gridCol w:w="959"/>
        <w:gridCol w:w="1020"/>
        <w:gridCol w:w="1355"/>
        <w:gridCol w:w="1586"/>
      </w:tblGrid>
      <w:tr>
        <w:trPr>
          <w:trHeight w:val="269" w:hRule="atLeast"/>
        </w:trPr>
        <w:tc>
          <w:tcPr>
            <w:tcW w:w="68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tabs>
                <w:tab w:val="clear" w:pos="708"/>
              </w:tabs>
              <w:spacing w:lineRule="auto" w:line="240"/>
              <w:jc w:val="center"/>
              <w:rPr>
                <w:rFonts w:ascii="Verdana" w:hAnsi="Verdana"/>
                <w:sz w:val="20"/>
                <w:szCs w:val="20"/>
              </w:rPr>
            </w:pPr>
            <w:r>
              <w:rPr>
                <w:rFonts w:cs="Arial" w:ascii="Verdana" w:hAnsi="Verdana"/>
                <w:b/>
                <w:bCs/>
                <w:sz w:val="20"/>
                <w:szCs w:val="20"/>
              </w:rPr>
              <w:t>Item</w:t>
            </w:r>
          </w:p>
        </w:tc>
        <w:tc>
          <w:tcPr>
            <w:tcW w:w="368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tabs>
                <w:tab w:val="clear" w:pos="708"/>
              </w:tabs>
              <w:spacing w:lineRule="auto" w:line="240"/>
              <w:jc w:val="center"/>
              <w:rPr>
                <w:rFonts w:ascii="Verdana" w:hAnsi="Verdana"/>
                <w:sz w:val="20"/>
                <w:szCs w:val="20"/>
              </w:rPr>
            </w:pPr>
            <w:r>
              <w:rPr>
                <w:rFonts w:cs="Arial" w:ascii="Verdana" w:hAnsi="Verdana"/>
                <w:b/>
                <w:bCs/>
                <w:sz w:val="20"/>
                <w:szCs w:val="20"/>
              </w:rPr>
              <w:t>Descrição</w:t>
            </w:r>
          </w:p>
        </w:tc>
        <w:tc>
          <w:tcPr>
            <w:tcW w:w="959" w:type="dxa"/>
            <w:tcBorders>
              <w:top w:val="single" w:sz="4" w:space="0" w:color="000000"/>
              <w:left w:val="single" w:sz="4" w:space="0" w:color="000000"/>
              <w:bottom w:val="single" w:sz="4" w:space="0" w:color="000000"/>
            </w:tcBorders>
            <w:vAlign w:val="center"/>
          </w:tcPr>
          <w:p>
            <w:pPr>
              <w:pStyle w:val="Normal"/>
              <w:widowControl w:val="false"/>
              <w:tabs>
                <w:tab w:val="clear" w:pos="708"/>
              </w:tabs>
              <w:spacing w:lineRule="auto" w:line="240"/>
              <w:jc w:val="center"/>
              <w:rPr>
                <w:rFonts w:ascii="Verdana" w:hAnsi="Verdana"/>
                <w:sz w:val="20"/>
                <w:szCs w:val="20"/>
              </w:rPr>
            </w:pPr>
            <w:r>
              <w:rPr>
                <w:rFonts w:cs="Arial" w:ascii="Verdana" w:hAnsi="Verdana"/>
                <w:b/>
                <w:bCs/>
                <w:sz w:val="20"/>
                <w:szCs w:val="20"/>
              </w:rPr>
              <w:t>Quant.</w:t>
            </w:r>
          </w:p>
        </w:tc>
        <w:tc>
          <w:tcPr>
            <w:tcW w:w="1020" w:type="dxa"/>
            <w:tcBorders>
              <w:top w:val="single" w:sz="4" w:space="0" w:color="000000"/>
              <w:left w:val="single" w:sz="4" w:space="0" w:color="000000"/>
              <w:bottom w:val="single" w:sz="4" w:space="0" w:color="000000"/>
            </w:tcBorders>
            <w:vAlign w:val="center"/>
          </w:tcPr>
          <w:p>
            <w:pPr>
              <w:pStyle w:val="Normal"/>
              <w:widowControl w:val="false"/>
              <w:tabs>
                <w:tab w:val="clear" w:pos="708"/>
              </w:tabs>
              <w:spacing w:lineRule="auto" w:line="240"/>
              <w:jc w:val="center"/>
              <w:rPr>
                <w:rFonts w:ascii="Verdana" w:hAnsi="Verdana"/>
                <w:sz w:val="20"/>
                <w:szCs w:val="20"/>
              </w:rPr>
            </w:pPr>
            <w:r>
              <w:rPr>
                <w:rFonts w:cs="Arial" w:ascii="Verdana" w:hAnsi="Verdana"/>
                <w:b/>
                <w:bCs/>
                <w:sz w:val="20"/>
                <w:szCs w:val="20"/>
                <w:u w:val="single"/>
              </w:rPr>
              <w:t>UND</w:t>
            </w:r>
          </w:p>
        </w:tc>
        <w:tc>
          <w:tcPr>
            <w:tcW w:w="135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tabs>
                <w:tab w:val="clear" w:pos="708"/>
              </w:tabs>
              <w:spacing w:lineRule="auto" w:line="240"/>
              <w:jc w:val="center"/>
              <w:rPr>
                <w:rFonts w:ascii="Verdana" w:hAnsi="Verdana"/>
                <w:sz w:val="20"/>
                <w:szCs w:val="20"/>
              </w:rPr>
            </w:pPr>
            <w:r>
              <w:rPr>
                <w:rFonts w:cs="Arial" w:ascii="Verdana" w:hAnsi="Verdana"/>
                <w:b/>
                <w:bCs/>
                <w:sz w:val="20"/>
                <w:szCs w:val="20"/>
              </w:rPr>
              <w:t>Preço unitário</w:t>
            </w:r>
            <w:r>
              <w:rPr>
                <w:rFonts w:cs="Arial" w:ascii="Verdana" w:hAnsi="Verdana"/>
                <w:b/>
                <w:bCs/>
                <w:sz w:val="20"/>
                <w:szCs w:val="20"/>
                <w:u w:val="single"/>
              </w:rPr>
              <w:t xml:space="preserve"> </w:t>
            </w:r>
            <w:r>
              <w:rPr>
                <w:rFonts w:cs="Arial" w:ascii="Verdana" w:hAnsi="Verdana"/>
                <w:b/>
                <w:bCs/>
                <w:sz w:val="20"/>
                <w:szCs w:val="20"/>
                <w:u w:val="none"/>
              </w:rPr>
              <w:t>estimado</w:t>
            </w:r>
          </w:p>
        </w:tc>
        <w:tc>
          <w:tcPr>
            <w:tcW w:w="158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tabs>
                <w:tab w:val="clear" w:pos="708"/>
              </w:tabs>
              <w:spacing w:lineRule="auto" w:line="240"/>
              <w:jc w:val="center"/>
              <w:rPr>
                <w:rFonts w:ascii="Verdana" w:hAnsi="Verdana"/>
                <w:sz w:val="20"/>
                <w:szCs w:val="20"/>
              </w:rPr>
            </w:pPr>
            <w:r>
              <w:rPr>
                <w:rFonts w:cs="Arial" w:ascii="Verdana" w:hAnsi="Verdana"/>
                <w:b/>
                <w:bCs/>
                <w:sz w:val="20"/>
                <w:szCs w:val="20"/>
              </w:rPr>
              <w:t>Preço total</w:t>
            </w:r>
            <w:r>
              <w:rPr>
                <w:rFonts w:cs="Arial" w:ascii="Verdana" w:hAnsi="Verdana"/>
                <w:b/>
                <w:bCs/>
                <w:sz w:val="20"/>
                <w:szCs w:val="20"/>
                <w:u w:val="single"/>
              </w:rPr>
              <w:t xml:space="preserve"> </w:t>
            </w:r>
            <w:r>
              <w:rPr>
                <w:rFonts w:cs="Arial" w:ascii="Verdana" w:hAnsi="Verdana"/>
                <w:b/>
                <w:bCs/>
                <w:sz w:val="20"/>
                <w:szCs w:val="20"/>
                <w:u w:val="none"/>
              </w:rPr>
              <w:t>estimado</w:t>
            </w:r>
          </w:p>
        </w:tc>
      </w:tr>
      <w:tr>
        <w:trPr>
          <w:trHeight w:val="269" w:hRule="atLeast"/>
        </w:trPr>
        <w:tc>
          <w:tcPr>
            <w:tcW w:w="680" w:type="dxa"/>
            <w:tcBorders>
              <w:left w:val="single" w:sz="4" w:space="0" w:color="000000"/>
              <w:bottom w:val="single" w:sz="4" w:space="0" w:color="000000"/>
              <w:right w:val="single" w:sz="4" w:space="0" w:color="000000"/>
            </w:tcBorders>
            <w:vAlign w:val="center"/>
          </w:tcPr>
          <w:p>
            <w:pPr>
              <w:pStyle w:val="Contedodatabela"/>
              <w:widowControl w:val="false"/>
              <w:tabs>
                <w:tab w:val="clear" w:pos="708"/>
              </w:tabs>
              <w:spacing w:lineRule="auto" w:line="240"/>
              <w:jc w:val="center"/>
              <w:rPr>
                <w:rFonts w:ascii="Verdana" w:hAnsi="Verdana"/>
                <w:sz w:val="20"/>
                <w:szCs w:val="20"/>
              </w:rPr>
            </w:pPr>
            <w:r>
              <w:rPr>
                <w:rFonts w:cs="Arial" w:ascii="Verdana" w:hAnsi="Verdana"/>
                <w:b w:val="false"/>
                <w:bCs w:val="false"/>
                <w:sz w:val="20"/>
                <w:szCs w:val="20"/>
                <w:u w:val="none"/>
              </w:rPr>
              <w:t>01</w:t>
            </w:r>
          </w:p>
        </w:tc>
        <w:tc>
          <w:tcPr>
            <w:tcW w:w="3680" w:type="dxa"/>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jc w:val="both"/>
              <w:rPr>
                <w:rFonts w:ascii="Verdana" w:hAnsi="Verdana"/>
                <w:sz w:val="20"/>
                <w:szCs w:val="20"/>
              </w:rPr>
            </w:pPr>
            <w:r>
              <w:rPr>
                <w:rFonts w:eastAsia="Calibri" w:cs="Arial" w:ascii="Verdana" w:hAnsi="Verdana"/>
                <w:b w:val="false"/>
                <w:bCs w:val="false"/>
                <w:kern w:val="0"/>
                <w:sz w:val="20"/>
                <w:szCs w:val="20"/>
                <w:lang w:val="pt-BR" w:eastAsia="en-US" w:bidi="ar-SA"/>
              </w:rPr>
              <w:t>Tubo coleta a vácuo em EDTA 4ml – rack contendo no minimo 100 unidades (ROXO)</w:t>
            </w:r>
          </w:p>
        </w:tc>
        <w:tc>
          <w:tcPr>
            <w:tcW w:w="959" w:type="dxa"/>
            <w:tcBorders>
              <w:left w:val="single" w:sz="4" w:space="0" w:color="000000"/>
              <w:bottom w:val="single" w:sz="4" w:space="0" w:color="000000"/>
            </w:tcBorders>
            <w:vAlign w:val="center"/>
          </w:tcPr>
          <w:p>
            <w:pPr>
              <w:pStyle w:val="Normal"/>
              <w:widowControl w:val="false"/>
              <w:spacing w:lineRule="auto" w:line="240" w:before="0" w:after="0"/>
              <w:jc w:val="both"/>
              <w:rPr>
                <w:rFonts w:ascii="Verdana" w:hAnsi="Verdana"/>
                <w:sz w:val="20"/>
                <w:szCs w:val="20"/>
              </w:rPr>
            </w:pPr>
            <w:r>
              <w:rPr>
                <w:rFonts w:eastAsia="Calibri" w:cs="Arial" w:ascii="Verdana" w:hAnsi="Verdana"/>
                <w:b w:val="false"/>
                <w:bCs w:val="false"/>
                <w:kern w:val="0"/>
                <w:sz w:val="20"/>
                <w:szCs w:val="20"/>
                <w:lang w:val="pt-BR" w:eastAsia="en-US" w:bidi="ar-SA"/>
              </w:rPr>
              <w:t>250</w:t>
            </w:r>
          </w:p>
        </w:tc>
        <w:tc>
          <w:tcPr>
            <w:tcW w:w="1020" w:type="dxa"/>
            <w:tcBorders>
              <w:left w:val="single" w:sz="4" w:space="0" w:color="000000"/>
              <w:bottom w:val="single" w:sz="4" w:space="0" w:color="000000"/>
            </w:tcBorders>
            <w:vAlign w:val="center"/>
          </w:tcPr>
          <w:p>
            <w:pPr>
              <w:pStyle w:val="Normal"/>
              <w:widowControl w:val="false"/>
              <w:spacing w:lineRule="auto" w:line="240" w:before="0" w:after="0"/>
              <w:jc w:val="both"/>
              <w:rPr>
                <w:rFonts w:ascii="Verdana" w:hAnsi="Verdana"/>
                <w:sz w:val="20"/>
                <w:szCs w:val="20"/>
              </w:rPr>
            </w:pPr>
            <w:r>
              <w:rPr>
                <w:rFonts w:eastAsia="Calibri" w:cs="Arial" w:ascii="Verdana" w:hAnsi="Verdana"/>
                <w:b w:val="false"/>
                <w:bCs w:val="false"/>
                <w:kern w:val="0"/>
                <w:sz w:val="20"/>
                <w:szCs w:val="20"/>
                <w:lang w:val="pt-BR" w:eastAsia="en-US" w:bidi="ar-SA"/>
              </w:rPr>
              <w:t>rack</w:t>
            </w:r>
          </w:p>
        </w:tc>
        <w:tc>
          <w:tcPr>
            <w:tcW w:w="1355" w:type="dxa"/>
            <w:tcBorders>
              <w:left w:val="single" w:sz="4" w:space="0" w:color="000000"/>
              <w:bottom w:val="single" w:sz="4" w:space="0" w:color="000000"/>
              <w:right w:val="single" w:sz="4" w:space="0" w:color="000000"/>
            </w:tcBorders>
            <w:vAlign w:val="center"/>
          </w:tcPr>
          <w:p>
            <w:pPr>
              <w:pStyle w:val="Normal"/>
              <w:widowControl w:val="false"/>
              <w:spacing w:lineRule="auto" w:line="240" w:before="0" w:after="160"/>
              <w:jc w:val="center"/>
              <w:rPr>
                <w:rFonts w:ascii="Verdana" w:hAnsi="Verdana"/>
                <w:sz w:val="20"/>
                <w:szCs w:val="20"/>
              </w:rPr>
            </w:pPr>
            <w:r>
              <w:rPr>
                <w:rFonts w:ascii="Verdana" w:hAnsi="Verdana"/>
                <w:sz w:val="20"/>
                <w:szCs w:val="20"/>
              </w:rPr>
              <w:t>R$58,00</w:t>
            </w:r>
          </w:p>
        </w:tc>
        <w:tc>
          <w:tcPr>
            <w:tcW w:w="1586" w:type="dxa"/>
            <w:tcBorders>
              <w:left w:val="single" w:sz="4" w:space="0" w:color="000000"/>
              <w:bottom w:val="single" w:sz="4" w:space="0" w:color="000000"/>
              <w:right w:val="single" w:sz="4" w:space="0" w:color="000000"/>
            </w:tcBorders>
            <w:vAlign w:val="center"/>
          </w:tcPr>
          <w:p>
            <w:pPr>
              <w:pStyle w:val="Normal"/>
              <w:widowControl w:val="false"/>
              <w:spacing w:lineRule="auto" w:line="240" w:before="0" w:after="160"/>
              <w:jc w:val="center"/>
              <w:rPr>
                <w:rFonts w:ascii="Verdana" w:hAnsi="Verdana"/>
                <w:sz w:val="20"/>
                <w:szCs w:val="20"/>
              </w:rPr>
            </w:pPr>
            <w:r>
              <w:rPr>
                <w:rFonts w:ascii="Verdana" w:hAnsi="Verdana"/>
                <w:sz w:val="20"/>
                <w:szCs w:val="20"/>
              </w:rPr>
              <w:t>R$14.500,00</w:t>
            </w:r>
          </w:p>
        </w:tc>
      </w:tr>
      <w:tr>
        <w:trPr>
          <w:trHeight w:val="269" w:hRule="atLeast"/>
        </w:trPr>
        <w:tc>
          <w:tcPr>
            <w:tcW w:w="680" w:type="dxa"/>
            <w:tcBorders>
              <w:left w:val="single" w:sz="4" w:space="0" w:color="000000"/>
              <w:bottom w:val="single" w:sz="4" w:space="0" w:color="000000"/>
              <w:right w:val="single" w:sz="4" w:space="0" w:color="000000"/>
            </w:tcBorders>
            <w:vAlign w:val="center"/>
          </w:tcPr>
          <w:p>
            <w:pPr>
              <w:pStyle w:val="Contedodatabela"/>
              <w:widowControl w:val="false"/>
              <w:tabs>
                <w:tab w:val="clear" w:pos="708"/>
              </w:tabs>
              <w:spacing w:lineRule="auto" w:line="240"/>
              <w:jc w:val="center"/>
              <w:rPr>
                <w:rFonts w:ascii="Verdana" w:hAnsi="Verdana"/>
                <w:sz w:val="20"/>
                <w:szCs w:val="20"/>
              </w:rPr>
            </w:pPr>
            <w:r>
              <w:rPr>
                <w:rFonts w:ascii="Verdana" w:hAnsi="Verdana"/>
                <w:sz w:val="20"/>
                <w:szCs w:val="20"/>
              </w:rPr>
              <w:t>02</w:t>
            </w:r>
          </w:p>
        </w:tc>
        <w:tc>
          <w:tcPr>
            <w:tcW w:w="3680" w:type="dxa"/>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jc w:val="both"/>
              <w:rPr>
                <w:rFonts w:ascii="Verdana" w:hAnsi="Verdana"/>
                <w:sz w:val="20"/>
                <w:szCs w:val="20"/>
              </w:rPr>
            </w:pPr>
            <w:r>
              <w:rPr>
                <w:rFonts w:eastAsia="Calibri" w:cs="Arial" w:ascii="Verdana" w:hAnsi="Verdana"/>
                <w:b w:val="false"/>
                <w:bCs w:val="false"/>
                <w:kern w:val="0"/>
                <w:sz w:val="20"/>
                <w:szCs w:val="20"/>
                <w:lang w:val="pt-BR" w:eastAsia="en-US" w:bidi="ar-SA"/>
              </w:rPr>
              <w:t>Tubo coleta a vácuo EDTA 2ml pediátrico, fornecido em  rack contendo no minimo 100  unidades(ROXO)</w:t>
            </w:r>
          </w:p>
          <w:p>
            <w:pPr>
              <w:pStyle w:val="Normal"/>
              <w:widowControl w:val="false"/>
              <w:spacing w:lineRule="auto" w:line="240" w:before="0" w:after="0"/>
              <w:jc w:val="both"/>
              <w:rPr>
                <w:rFonts w:ascii="Verdana" w:hAnsi="Verdana" w:eastAsia="Calibri" w:cs="Arial"/>
                <w:b w:val="false"/>
                <w:bCs w:val="false"/>
                <w:kern w:val="0"/>
                <w:sz w:val="20"/>
                <w:szCs w:val="20"/>
                <w:lang w:val="pt-BR" w:eastAsia="en-US" w:bidi="ar-SA"/>
              </w:rPr>
            </w:pPr>
            <w:r>
              <w:rPr>
                <w:rFonts w:eastAsia="Calibri" w:cs="Arial" w:ascii="Verdana" w:hAnsi="Verdana"/>
                <w:b w:val="false"/>
                <w:bCs w:val="false"/>
                <w:kern w:val="0"/>
                <w:sz w:val="20"/>
                <w:szCs w:val="20"/>
                <w:lang w:val="pt-BR" w:eastAsia="en-US" w:bidi="ar-SA"/>
              </w:rPr>
            </w:r>
          </w:p>
          <w:p>
            <w:pPr>
              <w:pStyle w:val="Normal"/>
              <w:widowControl w:val="false"/>
              <w:spacing w:lineRule="auto" w:line="240" w:before="0" w:after="0"/>
              <w:jc w:val="both"/>
              <w:rPr>
                <w:rFonts w:ascii="Verdana" w:hAnsi="Verdana" w:eastAsia="Calibri" w:cs="Arial"/>
                <w:b w:val="false"/>
                <w:bCs w:val="false"/>
                <w:kern w:val="0"/>
                <w:sz w:val="20"/>
                <w:szCs w:val="20"/>
                <w:lang w:val="pt-BR" w:eastAsia="en-US" w:bidi="ar-SA"/>
              </w:rPr>
            </w:pPr>
            <w:r>
              <w:rPr>
                <w:rFonts w:eastAsia="Calibri" w:cs="Arial" w:ascii="Verdana" w:hAnsi="Verdana"/>
                <w:b w:val="false"/>
                <w:bCs w:val="false"/>
                <w:kern w:val="0"/>
                <w:sz w:val="20"/>
                <w:szCs w:val="20"/>
                <w:lang w:val="pt-BR" w:eastAsia="en-US" w:bidi="ar-SA"/>
              </w:rPr>
            </w:r>
          </w:p>
        </w:tc>
        <w:tc>
          <w:tcPr>
            <w:tcW w:w="959" w:type="dxa"/>
            <w:tcBorders>
              <w:left w:val="single" w:sz="4" w:space="0" w:color="000000"/>
              <w:bottom w:val="single" w:sz="4" w:space="0" w:color="000000"/>
            </w:tcBorders>
            <w:vAlign w:val="center"/>
          </w:tcPr>
          <w:p>
            <w:pPr>
              <w:pStyle w:val="Normal"/>
              <w:widowControl w:val="false"/>
              <w:spacing w:lineRule="auto" w:line="240" w:before="0" w:after="0"/>
              <w:jc w:val="both"/>
              <w:rPr>
                <w:rFonts w:ascii="Verdana" w:hAnsi="Verdana"/>
                <w:sz w:val="20"/>
                <w:szCs w:val="20"/>
              </w:rPr>
            </w:pPr>
            <w:r>
              <w:rPr>
                <w:rFonts w:eastAsia="Calibri" w:cs="Arial" w:ascii="Verdana" w:hAnsi="Verdana"/>
                <w:b w:val="false"/>
                <w:bCs w:val="false"/>
                <w:kern w:val="0"/>
                <w:sz w:val="20"/>
                <w:szCs w:val="20"/>
                <w:lang w:val="pt-BR" w:eastAsia="en-US" w:bidi="ar-SA"/>
              </w:rPr>
              <w:t>100</w:t>
            </w:r>
          </w:p>
        </w:tc>
        <w:tc>
          <w:tcPr>
            <w:tcW w:w="1020" w:type="dxa"/>
            <w:tcBorders>
              <w:left w:val="single" w:sz="4" w:space="0" w:color="000000"/>
              <w:bottom w:val="single" w:sz="4" w:space="0" w:color="000000"/>
            </w:tcBorders>
            <w:vAlign w:val="center"/>
          </w:tcPr>
          <w:p>
            <w:pPr>
              <w:pStyle w:val="Normal"/>
              <w:widowControl w:val="false"/>
              <w:spacing w:lineRule="auto" w:line="240" w:before="0" w:after="0"/>
              <w:jc w:val="both"/>
              <w:rPr>
                <w:rFonts w:ascii="Verdana" w:hAnsi="Verdana"/>
                <w:sz w:val="20"/>
                <w:szCs w:val="20"/>
              </w:rPr>
            </w:pPr>
            <w:r>
              <w:rPr>
                <w:rFonts w:eastAsia="Calibri" w:cs="Arial" w:ascii="Verdana" w:hAnsi="Verdana"/>
                <w:b w:val="false"/>
                <w:bCs w:val="false"/>
                <w:kern w:val="0"/>
                <w:sz w:val="20"/>
                <w:szCs w:val="20"/>
                <w:lang w:val="pt-BR" w:eastAsia="en-US" w:bidi="ar-SA"/>
              </w:rPr>
              <w:t>rack</w:t>
            </w:r>
          </w:p>
        </w:tc>
        <w:tc>
          <w:tcPr>
            <w:tcW w:w="1355" w:type="dxa"/>
            <w:tcBorders>
              <w:left w:val="single" w:sz="4" w:space="0" w:color="000000"/>
              <w:bottom w:val="single" w:sz="4" w:space="0" w:color="000000"/>
              <w:right w:val="single" w:sz="4" w:space="0" w:color="000000"/>
            </w:tcBorders>
            <w:vAlign w:val="center"/>
          </w:tcPr>
          <w:p>
            <w:pPr>
              <w:pStyle w:val="Normal"/>
              <w:widowControl w:val="false"/>
              <w:spacing w:lineRule="auto" w:line="240" w:before="0" w:after="160"/>
              <w:jc w:val="center"/>
              <w:rPr>
                <w:rFonts w:ascii="Verdana" w:hAnsi="Verdana"/>
                <w:sz w:val="20"/>
                <w:szCs w:val="20"/>
              </w:rPr>
            </w:pPr>
            <w:r>
              <w:rPr>
                <w:rFonts w:ascii="Verdana" w:hAnsi="Verdana"/>
                <w:sz w:val="20"/>
                <w:szCs w:val="20"/>
              </w:rPr>
              <w:t>R$54,50</w:t>
            </w:r>
          </w:p>
        </w:tc>
        <w:tc>
          <w:tcPr>
            <w:tcW w:w="1586" w:type="dxa"/>
            <w:tcBorders>
              <w:left w:val="single" w:sz="4" w:space="0" w:color="000000"/>
              <w:bottom w:val="single" w:sz="4" w:space="0" w:color="000000"/>
              <w:right w:val="single" w:sz="4" w:space="0" w:color="000000"/>
            </w:tcBorders>
            <w:vAlign w:val="center"/>
          </w:tcPr>
          <w:p>
            <w:pPr>
              <w:pStyle w:val="Normal"/>
              <w:widowControl w:val="false"/>
              <w:spacing w:lineRule="auto" w:line="240" w:before="0" w:after="160"/>
              <w:jc w:val="center"/>
              <w:rPr>
                <w:rFonts w:ascii="Verdana" w:hAnsi="Verdana"/>
                <w:sz w:val="20"/>
                <w:szCs w:val="20"/>
              </w:rPr>
            </w:pPr>
            <w:r>
              <w:rPr>
                <w:rFonts w:ascii="Verdana" w:hAnsi="Verdana"/>
                <w:sz w:val="20"/>
                <w:szCs w:val="20"/>
              </w:rPr>
              <w:t>R$5.450,00</w:t>
            </w:r>
          </w:p>
        </w:tc>
      </w:tr>
      <w:tr>
        <w:trPr>
          <w:trHeight w:val="269" w:hRule="atLeast"/>
        </w:trPr>
        <w:tc>
          <w:tcPr>
            <w:tcW w:w="680" w:type="dxa"/>
            <w:tcBorders>
              <w:left w:val="single" w:sz="4" w:space="0" w:color="000000"/>
              <w:bottom w:val="single" w:sz="4" w:space="0" w:color="000000"/>
              <w:right w:val="single" w:sz="4" w:space="0" w:color="000000"/>
            </w:tcBorders>
            <w:vAlign w:val="center"/>
          </w:tcPr>
          <w:p>
            <w:pPr>
              <w:pStyle w:val="Contedodatabela"/>
              <w:widowControl w:val="false"/>
              <w:tabs>
                <w:tab w:val="clear" w:pos="708"/>
              </w:tabs>
              <w:spacing w:lineRule="auto" w:line="240"/>
              <w:jc w:val="center"/>
              <w:rPr>
                <w:rFonts w:ascii="Verdana" w:hAnsi="Verdana"/>
                <w:sz w:val="20"/>
                <w:szCs w:val="20"/>
              </w:rPr>
            </w:pPr>
            <w:r>
              <w:rPr>
                <w:rFonts w:ascii="Verdana" w:hAnsi="Verdana"/>
                <w:sz w:val="20"/>
                <w:szCs w:val="20"/>
              </w:rPr>
              <w:t>03</w:t>
            </w:r>
          </w:p>
        </w:tc>
        <w:tc>
          <w:tcPr>
            <w:tcW w:w="3680" w:type="dxa"/>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jc w:val="both"/>
              <w:rPr>
                <w:rFonts w:ascii="Verdana" w:hAnsi="Verdana"/>
                <w:sz w:val="20"/>
                <w:szCs w:val="20"/>
              </w:rPr>
            </w:pPr>
            <w:r>
              <w:rPr>
                <w:rFonts w:eastAsia="Calibri" w:cs="Arial" w:ascii="Verdana" w:hAnsi="Verdana"/>
                <w:b w:val="false"/>
                <w:bCs w:val="false"/>
                <w:kern w:val="0"/>
                <w:sz w:val="20"/>
                <w:szCs w:val="20"/>
                <w:lang w:val="pt-BR" w:eastAsia="en-US" w:bidi="ar-SA"/>
              </w:rPr>
              <w:t>Tubo coleta de 10ml com fechamento a vácuo sem anticoagulante (TAMPA VERMELHA) rack contendo no minimo 100 unidades</w:t>
            </w:r>
          </w:p>
        </w:tc>
        <w:tc>
          <w:tcPr>
            <w:tcW w:w="959" w:type="dxa"/>
            <w:tcBorders>
              <w:left w:val="single" w:sz="4" w:space="0" w:color="000000"/>
              <w:bottom w:val="single" w:sz="4" w:space="0" w:color="000000"/>
            </w:tcBorders>
            <w:vAlign w:val="center"/>
          </w:tcPr>
          <w:p>
            <w:pPr>
              <w:pStyle w:val="Normal"/>
              <w:widowControl w:val="false"/>
              <w:spacing w:lineRule="auto" w:line="240" w:before="0" w:after="0"/>
              <w:jc w:val="both"/>
              <w:rPr>
                <w:rFonts w:ascii="Verdana" w:hAnsi="Verdana"/>
                <w:sz w:val="20"/>
                <w:szCs w:val="20"/>
              </w:rPr>
            </w:pPr>
            <w:r>
              <w:rPr>
                <w:rFonts w:eastAsia="Calibri" w:cs="Arial" w:ascii="Verdana" w:hAnsi="Verdana"/>
                <w:b w:val="false"/>
                <w:bCs w:val="false"/>
                <w:kern w:val="0"/>
                <w:sz w:val="20"/>
                <w:szCs w:val="20"/>
                <w:lang w:val="pt-BR" w:eastAsia="en-US" w:bidi="ar-SA"/>
              </w:rPr>
              <w:t>250</w:t>
            </w:r>
          </w:p>
        </w:tc>
        <w:tc>
          <w:tcPr>
            <w:tcW w:w="1020" w:type="dxa"/>
            <w:tcBorders>
              <w:left w:val="single" w:sz="4" w:space="0" w:color="000000"/>
              <w:bottom w:val="single" w:sz="4" w:space="0" w:color="000000"/>
            </w:tcBorders>
            <w:vAlign w:val="center"/>
          </w:tcPr>
          <w:p>
            <w:pPr>
              <w:pStyle w:val="Normal"/>
              <w:widowControl w:val="false"/>
              <w:spacing w:lineRule="auto" w:line="240" w:before="0" w:after="0"/>
              <w:jc w:val="both"/>
              <w:rPr>
                <w:rFonts w:ascii="Verdana" w:hAnsi="Verdana"/>
                <w:sz w:val="20"/>
                <w:szCs w:val="20"/>
              </w:rPr>
            </w:pPr>
            <w:r>
              <w:rPr>
                <w:rFonts w:eastAsia="Calibri" w:cs="Arial" w:ascii="Verdana" w:hAnsi="Verdana"/>
                <w:b w:val="false"/>
                <w:bCs w:val="false"/>
                <w:kern w:val="0"/>
                <w:sz w:val="20"/>
                <w:szCs w:val="20"/>
                <w:lang w:val="pt-BR" w:eastAsia="en-US" w:bidi="ar-SA"/>
              </w:rPr>
              <w:t>rack</w:t>
            </w:r>
          </w:p>
        </w:tc>
        <w:tc>
          <w:tcPr>
            <w:tcW w:w="1355" w:type="dxa"/>
            <w:tcBorders>
              <w:left w:val="single" w:sz="4" w:space="0" w:color="000000"/>
              <w:bottom w:val="single" w:sz="4" w:space="0" w:color="000000"/>
              <w:right w:val="single" w:sz="4" w:space="0" w:color="000000"/>
            </w:tcBorders>
            <w:vAlign w:val="center"/>
          </w:tcPr>
          <w:p>
            <w:pPr>
              <w:pStyle w:val="Normal"/>
              <w:widowControl w:val="false"/>
              <w:spacing w:lineRule="auto" w:line="240" w:before="0" w:after="160"/>
              <w:jc w:val="center"/>
              <w:rPr>
                <w:rFonts w:ascii="Verdana" w:hAnsi="Verdana"/>
                <w:sz w:val="20"/>
                <w:szCs w:val="20"/>
              </w:rPr>
            </w:pPr>
            <w:r>
              <w:rPr>
                <w:rFonts w:ascii="Verdana" w:hAnsi="Verdana"/>
                <w:sz w:val="20"/>
                <w:szCs w:val="20"/>
              </w:rPr>
              <w:t>R$78,90</w:t>
            </w:r>
          </w:p>
        </w:tc>
        <w:tc>
          <w:tcPr>
            <w:tcW w:w="1586" w:type="dxa"/>
            <w:tcBorders>
              <w:left w:val="single" w:sz="4" w:space="0" w:color="000000"/>
              <w:bottom w:val="single" w:sz="4" w:space="0" w:color="000000"/>
              <w:right w:val="single" w:sz="4" w:space="0" w:color="000000"/>
            </w:tcBorders>
            <w:vAlign w:val="center"/>
          </w:tcPr>
          <w:p>
            <w:pPr>
              <w:pStyle w:val="Normal"/>
              <w:widowControl w:val="false"/>
              <w:spacing w:lineRule="auto" w:line="240" w:before="0" w:after="160"/>
              <w:jc w:val="center"/>
              <w:rPr>
                <w:rFonts w:ascii="Verdana" w:hAnsi="Verdana"/>
                <w:sz w:val="20"/>
                <w:szCs w:val="20"/>
              </w:rPr>
            </w:pPr>
            <w:r>
              <w:rPr>
                <w:rFonts w:ascii="Verdana" w:hAnsi="Verdana"/>
                <w:sz w:val="20"/>
                <w:szCs w:val="20"/>
              </w:rPr>
              <w:t>R$19.725,00</w:t>
            </w:r>
          </w:p>
        </w:tc>
      </w:tr>
      <w:tr>
        <w:trPr>
          <w:trHeight w:val="269" w:hRule="atLeast"/>
        </w:trPr>
        <w:tc>
          <w:tcPr>
            <w:tcW w:w="680" w:type="dxa"/>
            <w:tcBorders>
              <w:left w:val="single" w:sz="4" w:space="0" w:color="000000"/>
              <w:bottom w:val="single" w:sz="4" w:space="0" w:color="000000"/>
              <w:right w:val="single" w:sz="4" w:space="0" w:color="000000"/>
            </w:tcBorders>
            <w:vAlign w:val="center"/>
          </w:tcPr>
          <w:p>
            <w:pPr>
              <w:pStyle w:val="Contedodatabela"/>
              <w:widowControl w:val="false"/>
              <w:tabs>
                <w:tab w:val="clear" w:pos="708"/>
              </w:tabs>
              <w:spacing w:lineRule="auto" w:line="240"/>
              <w:jc w:val="center"/>
              <w:rPr>
                <w:rFonts w:ascii="Verdana" w:hAnsi="Verdana"/>
                <w:sz w:val="20"/>
                <w:szCs w:val="20"/>
              </w:rPr>
            </w:pPr>
            <w:r>
              <w:rPr>
                <w:rFonts w:ascii="Verdana" w:hAnsi="Verdana"/>
                <w:sz w:val="20"/>
                <w:szCs w:val="20"/>
              </w:rPr>
              <w:t>04</w:t>
            </w:r>
          </w:p>
        </w:tc>
        <w:tc>
          <w:tcPr>
            <w:tcW w:w="3680" w:type="dxa"/>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jc w:val="both"/>
              <w:rPr>
                <w:rFonts w:ascii="Verdana" w:hAnsi="Verdana"/>
                <w:sz w:val="20"/>
                <w:szCs w:val="20"/>
              </w:rPr>
            </w:pPr>
            <w:r>
              <w:rPr>
                <w:rFonts w:eastAsia="Calibri" w:cs="Arial" w:ascii="Verdana" w:hAnsi="Verdana"/>
                <w:b w:val="false"/>
                <w:bCs w:val="false"/>
                <w:kern w:val="0"/>
                <w:sz w:val="20"/>
                <w:szCs w:val="20"/>
                <w:lang w:val="pt-BR" w:eastAsia="en-US" w:bidi="ar-SA"/>
              </w:rPr>
              <w:t>Tubo coleta tamanho entre 4 a 5 ml com fechamento a vacuo sem anticoagulante. Fornecido em rack contendo no minimo 100 unidades (tampa vermelha)</w:t>
            </w:r>
          </w:p>
        </w:tc>
        <w:tc>
          <w:tcPr>
            <w:tcW w:w="959" w:type="dxa"/>
            <w:tcBorders>
              <w:left w:val="single" w:sz="4" w:space="0" w:color="000000"/>
              <w:bottom w:val="single" w:sz="4" w:space="0" w:color="000000"/>
            </w:tcBorders>
            <w:vAlign w:val="center"/>
          </w:tcPr>
          <w:p>
            <w:pPr>
              <w:pStyle w:val="Normal"/>
              <w:widowControl w:val="false"/>
              <w:spacing w:lineRule="auto" w:line="240" w:before="0" w:after="0"/>
              <w:jc w:val="both"/>
              <w:rPr>
                <w:rFonts w:ascii="Verdana" w:hAnsi="Verdana"/>
                <w:sz w:val="20"/>
                <w:szCs w:val="20"/>
              </w:rPr>
            </w:pPr>
            <w:r>
              <w:rPr>
                <w:rFonts w:eastAsia="Calibri" w:cs="Arial" w:ascii="Verdana" w:hAnsi="Verdana"/>
                <w:b w:val="false"/>
                <w:bCs w:val="false"/>
                <w:kern w:val="0"/>
                <w:sz w:val="20"/>
                <w:szCs w:val="20"/>
                <w:lang w:val="pt-BR" w:eastAsia="en-US" w:bidi="ar-SA"/>
              </w:rPr>
              <w:t>50</w:t>
            </w:r>
          </w:p>
        </w:tc>
        <w:tc>
          <w:tcPr>
            <w:tcW w:w="1020" w:type="dxa"/>
            <w:tcBorders>
              <w:left w:val="single" w:sz="4" w:space="0" w:color="000000"/>
              <w:bottom w:val="single" w:sz="4" w:space="0" w:color="000000"/>
            </w:tcBorders>
            <w:vAlign w:val="center"/>
          </w:tcPr>
          <w:p>
            <w:pPr>
              <w:pStyle w:val="Normal"/>
              <w:widowControl w:val="false"/>
              <w:spacing w:lineRule="auto" w:line="240" w:before="0" w:after="0"/>
              <w:jc w:val="both"/>
              <w:rPr>
                <w:rFonts w:ascii="Verdana" w:hAnsi="Verdana"/>
                <w:sz w:val="20"/>
                <w:szCs w:val="20"/>
              </w:rPr>
            </w:pPr>
            <w:r>
              <w:rPr>
                <w:rFonts w:eastAsia="Calibri" w:cs="Arial" w:ascii="Verdana" w:hAnsi="Verdana"/>
                <w:b w:val="false"/>
                <w:bCs w:val="false"/>
                <w:kern w:val="0"/>
                <w:sz w:val="20"/>
                <w:szCs w:val="20"/>
                <w:lang w:val="pt-BR" w:eastAsia="en-US" w:bidi="ar-SA"/>
              </w:rPr>
              <w:t>Rack</w:t>
            </w:r>
          </w:p>
        </w:tc>
        <w:tc>
          <w:tcPr>
            <w:tcW w:w="1355" w:type="dxa"/>
            <w:tcBorders>
              <w:left w:val="single" w:sz="4" w:space="0" w:color="000000"/>
              <w:bottom w:val="single" w:sz="4" w:space="0" w:color="000000"/>
              <w:right w:val="single" w:sz="4" w:space="0" w:color="000000"/>
            </w:tcBorders>
            <w:vAlign w:val="center"/>
          </w:tcPr>
          <w:p>
            <w:pPr>
              <w:pStyle w:val="Normal"/>
              <w:widowControl w:val="false"/>
              <w:spacing w:lineRule="auto" w:line="240" w:before="0" w:after="160"/>
              <w:jc w:val="center"/>
              <w:rPr>
                <w:rFonts w:ascii="Verdana" w:hAnsi="Verdana"/>
                <w:sz w:val="20"/>
                <w:szCs w:val="20"/>
              </w:rPr>
            </w:pPr>
            <w:r>
              <w:rPr>
                <w:rFonts w:ascii="Verdana" w:hAnsi="Verdana"/>
                <w:sz w:val="20"/>
                <w:szCs w:val="20"/>
              </w:rPr>
              <w:t>R$64,00</w:t>
            </w:r>
          </w:p>
        </w:tc>
        <w:tc>
          <w:tcPr>
            <w:tcW w:w="1586" w:type="dxa"/>
            <w:tcBorders>
              <w:left w:val="single" w:sz="4" w:space="0" w:color="000000"/>
              <w:bottom w:val="single" w:sz="4" w:space="0" w:color="000000"/>
              <w:right w:val="single" w:sz="4" w:space="0" w:color="000000"/>
            </w:tcBorders>
            <w:vAlign w:val="center"/>
          </w:tcPr>
          <w:p>
            <w:pPr>
              <w:pStyle w:val="Normal"/>
              <w:widowControl w:val="false"/>
              <w:spacing w:lineRule="auto" w:line="240" w:before="0" w:after="160"/>
              <w:jc w:val="center"/>
              <w:rPr>
                <w:rFonts w:ascii="Verdana" w:hAnsi="Verdana"/>
                <w:sz w:val="20"/>
                <w:szCs w:val="20"/>
              </w:rPr>
            </w:pPr>
            <w:r>
              <w:rPr>
                <w:rFonts w:ascii="Verdana" w:hAnsi="Verdana"/>
                <w:sz w:val="20"/>
                <w:szCs w:val="20"/>
              </w:rPr>
              <w:t>R$3.200,00</w:t>
            </w:r>
          </w:p>
        </w:tc>
      </w:tr>
      <w:tr>
        <w:trPr>
          <w:trHeight w:val="269" w:hRule="atLeast"/>
        </w:trPr>
        <w:tc>
          <w:tcPr>
            <w:tcW w:w="680" w:type="dxa"/>
            <w:tcBorders>
              <w:left w:val="single" w:sz="4" w:space="0" w:color="000000"/>
              <w:bottom w:val="single" w:sz="4" w:space="0" w:color="000000"/>
              <w:right w:val="single" w:sz="4" w:space="0" w:color="000000"/>
            </w:tcBorders>
            <w:vAlign w:val="center"/>
          </w:tcPr>
          <w:p>
            <w:pPr>
              <w:pStyle w:val="Contedodatabela"/>
              <w:widowControl w:val="false"/>
              <w:tabs>
                <w:tab w:val="clear" w:pos="708"/>
              </w:tabs>
              <w:spacing w:lineRule="auto" w:line="240"/>
              <w:jc w:val="center"/>
              <w:rPr>
                <w:rFonts w:ascii="Verdana" w:hAnsi="Verdana"/>
                <w:sz w:val="20"/>
                <w:szCs w:val="20"/>
              </w:rPr>
            </w:pPr>
            <w:r>
              <w:rPr>
                <w:rFonts w:ascii="Verdana" w:hAnsi="Verdana"/>
                <w:sz w:val="20"/>
                <w:szCs w:val="20"/>
              </w:rPr>
              <w:t>05</w:t>
            </w:r>
          </w:p>
        </w:tc>
        <w:tc>
          <w:tcPr>
            <w:tcW w:w="3680" w:type="dxa"/>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jc w:val="both"/>
              <w:rPr>
                <w:rFonts w:ascii="Verdana" w:hAnsi="Verdana"/>
                <w:sz w:val="20"/>
                <w:szCs w:val="20"/>
              </w:rPr>
            </w:pPr>
            <w:r>
              <w:rPr>
                <w:rFonts w:eastAsia="Calibri" w:cs="Arial" w:ascii="Verdana" w:hAnsi="Verdana"/>
                <w:b w:val="false"/>
                <w:bCs w:val="false"/>
                <w:kern w:val="0"/>
                <w:sz w:val="20"/>
                <w:szCs w:val="20"/>
                <w:lang w:val="pt-BR" w:eastAsia="en-US" w:bidi="ar-SA"/>
              </w:rPr>
              <w:t>Tubo a vácuo gel separador – tamanho :05 ml .Material: plástico. Fornecido em rack contendo no minimo 100 unidades</w:t>
            </w:r>
          </w:p>
        </w:tc>
        <w:tc>
          <w:tcPr>
            <w:tcW w:w="959" w:type="dxa"/>
            <w:tcBorders>
              <w:left w:val="single" w:sz="4" w:space="0" w:color="000000"/>
              <w:bottom w:val="single" w:sz="4" w:space="0" w:color="000000"/>
            </w:tcBorders>
            <w:vAlign w:val="center"/>
          </w:tcPr>
          <w:p>
            <w:pPr>
              <w:pStyle w:val="Normal"/>
              <w:widowControl w:val="false"/>
              <w:spacing w:lineRule="auto" w:line="240" w:before="0" w:after="0"/>
              <w:jc w:val="both"/>
              <w:rPr>
                <w:rFonts w:ascii="Verdana" w:hAnsi="Verdana"/>
                <w:sz w:val="20"/>
                <w:szCs w:val="20"/>
              </w:rPr>
            </w:pPr>
            <w:r>
              <w:rPr>
                <w:rFonts w:eastAsia="Calibri" w:cs="Arial" w:ascii="Verdana" w:hAnsi="Verdana"/>
                <w:b w:val="false"/>
                <w:bCs w:val="false"/>
                <w:kern w:val="0"/>
                <w:sz w:val="20"/>
                <w:szCs w:val="20"/>
                <w:lang w:val="pt-BR" w:eastAsia="en-US" w:bidi="ar-SA"/>
              </w:rPr>
              <w:t>80</w:t>
            </w:r>
          </w:p>
        </w:tc>
        <w:tc>
          <w:tcPr>
            <w:tcW w:w="1020" w:type="dxa"/>
            <w:tcBorders>
              <w:left w:val="single" w:sz="4" w:space="0" w:color="000000"/>
              <w:bottom w:val="single" w:sz="4" w:space="0" w:color="000000"/>
            </w:tcBorders>
            <w:vAlign w:val="center"/>
          </w:tcPr>
          <w:p>
            <w:pPr>
              <w:pStyle w:val="Normal"/>
              <w:widowControl w:val="false"/>
              <w:spacing w:lineRule="auto" w:line="240" w:before="0" w:after="0"/>
              <w:jc w:val="both"/>
              <w:rPr>
                <w:rFonts w:ascii="Verdana" w:hAnsi="Verdana"/>
                <w:sz w:val="20"/>
                <w:szCs w:val="20"/>
              </w:rPr>
            </w:pPr>
            <w:r>
              <w:rPr>
                <w:rFonts w:eastAsia="Calibri" w:cs="Arial" w:ascii="Verdana" w:hAnsi="Verdana"/>
                <w:b w:val="false"/>
                <w:bCs w:val="false"/>
                <w:kern w:val="0"/>
                <w:sz w:val="20"/>
                <w:szCs w:val="20"/>
                <w:lang w:val="pt-BR" w:eastAsia="en-US" w:bidi="ar-SA"/>
              </w:rPr>
              <w:t>rack</w:t>
            </w:r>
          </w:p>
        </w:tc>
        <w:tc>
          <w:tcPr>
            <w:tcW w:w="1355" w:type="dxa"/>
            <w:tcBorders>
              <w:left w:val="single" w:sz="4" w:space="0" w:color="000000"/>
              <w:bottom w:val="single" w:sz="4" w:space="0" w:color="000000"/>
              <w:right w:val="single" w:sz="4" w:space="0" w:color="000000"/>
            </w:tcBorders>
            <w:vAlign w:val="center"/>
          </w:tcPr>
          <w:p>
            <w:pPr>
              <w:pStyle w:val="Normal"/>
              <w:widowControl w:val="false"/>
              <w:spacing w:lineRule="auto" w:line="240" w:before="0" w:after="160"/>
              <w:jc w:val="center"/>
              <w:rPr>
                <w:rFonts w:ascii="Verdana" w:hAnsi="Verdana"/>
                <w:sz w:val="20"/>
                <w:szCs w:val="20"/>
              </w:rPr>
            </w:pPr>
            <w:r>
              <w:rPr>
                <w:rFonts w:ascii="Verdana" w:hAnsi="Verdana"/>
                <w:sz w:val="20"/>
                <w:szCs w:val="20"/>
              </w:rPr>
              <w:t>R$90,30</w:t>
            </w:r>
          </w:p>
        </w:tc>
        <w:tc>
          <w:tcPr>
            <w:tcW w:w="1586" w:type="dxa"/>
            <w:tcBorders>
              <w:left w:val="single" w:sz="4" w:space="0" w:color="000000"/>
              <w:bottom w:val="single" w:sz="4" w:space="0" w:color="000000"/>
              <w:right w:val="single" w:sz="4" w:space="0" w:color="000000"/>
            </w:tcBorders>
            <w:vAlign w:val="center"/>
          </w:tcPr>
          <w:p>
            <w:pPr>
              <w:pStyle w:val="Normal"/>
              <w:widowControl w:val="false"/>
              <w:spacing w:lineRule="auto" w:line="240" w:before="0" w:after="160"/>
              <w:jc w:val="center"/>
              <w:rPr>
                <w:rFonts w:ascii="Verdana" w:hAnsi="Verdana"/>
                <w:sz w:val="20"/>
                <w:szCs w:val="20"/>
              </w:rPr>
            </w:pPr>
            <w:r>
              <w:rPr>
                <w:rFonts w:ascii="Verdana" w:hAnsi="Verdana"/>
                <w:sz w:val="20"/>
                <w:szCs w:val="20"/>
              </w:rPr>
              <w:t>R$9.003,00</w:t>
            </w:r>
          </w:p>
        </w:tc>
      </w:tr>
      <w:tr>
        <w:trPr>
          <w:trHeight w:val="269" w:hRule="atLeast"/>
        </w:trPr>
        <w:tc>
          <w:tcPr>
            <w:tcW w:w="680" w:type="dxa"/>
            <w:tcBorders>
              <w:left w:val="single" w:sz="4" w:space="0" w:color="000000"/>
              <w:bottom w:val="single" w:sz="4" w:space="0" w:color="000000"/>
              <w:right w:val="single" w:sz="4" w:space="0" w:color="000000"/>
            </w:tcBorders>
            <w:vAlign w:val="center"/>
          </w:tcPr>
          <w:p>
            <w:pPr>
              <w:pStyle w:val="Contedodatabela"/>
              <w:widowControl w:val="false"/>
              <w:tabs>
                <w:tab w:val="clear" w:pos="708"/>
              </w:tabs>
              <w:spacing w:lineRule="auto" w:line="240"/>
              <w:jc w:val="center"/>
              <w:rPr>
                <w:rFonts w:ascii="Verdana" w:hAnsi="Verdana"/>
                <w:sz w:val="20"/>
                <w:szCs w:val="20"/>
              </w:rPr>
            </w:pPr>
            <w:r>
              <w:rPr>
                <w:rFonts w:ascii="Verdana" w:hAnsi="Verdana"/>
                <w:sz w:val="20"/>
                <w:szCs w:val="20"/>
              </w:rPr>
              <w:t>06</w:t>
            </w:r>
          </w:p>
        </w:tc>
        <w:tc>
          <w:tcPr>
            <w:tcW w:w="3680" w:type="dxa"/>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jc w:val="both"/>
              <w:rPr>
                <w:rFonts w:ascii="Verdana" w:hAnsi="Verdana"/>
                <w:sz w:val="20"/>
                <w:szCs w:val="20"/>
              </w:rPr>
            </w:pPr>
            <w:r>
              <w:rPr>
                <w:rFonts w:eastAsia="Calibri" w:cs="Arial" w:ascii="Verdana" w:hAnsi="Verdana"/>
                <w:b w:val="false"/>
                <w:bCs w:val="false"/>
                <w:kern w:val="0"/>
                <w:sz w:val="20"/>
                <w:szCs w:val="20"/>
                <w:lang w:val="pt-BR" w:eastAsia="en-US" w:bidi="ar-SA"/>
              </w:rPr>
              <w:t>Tubo a vácuo com gel separador. Tamanho : entre 08 a 10 ml. Material: plástico. Fornecido em rack contendo no minimo 100 unidades</w:t>
            </w:r>
          </w:p>
        </w:tc>
        <w:tc>
          <w:tcPr>
            <w:tcW w:w="959" w:type="dxa"/>
            <w:tcBorders>
              <w:left w:val="single" w:sz="4" w:space="0" w:color="000000"/>
              <w:bottom w:val="single" w:sz="4" w:space="0" w:color="000000"/>
            </w:tcBorders>
            <w:vAlign w:val="center"/>
          </w:tcPr>
          <w:p>
            <w:pPr>
              <w:pStyle w:val="Normal"/>
              <w:widowControl w:val="false"/>
              <w:spacing w:lineRule="auto" w:line="240" w:before="0" w:after="0"/>
              <w:jc w:val="both"/>
              <w:rPr>
                <w:rFonts w:ascii="Verdana" w:hAnsi="Verdana"/>
                <w:sz w:val="20"/>
                <w:szCs w:val="20"/>
              </w:rPr>
            </w:pPr>
            <w:r>
              <w:rPr>
                <w:rFonts w:eastAsia="Calibri" w:cs="Arial" w:ascii="Verdana" w:hAnsi="Verdana"/>
                <w:b w:val="false"/>
                <w:bCs w:val="false"/>
                <w:kern w:val="0"/>
                <w:sz w:val="20"/>
                <w:szCs w:val="20"/>
                <w:lang w:val="pt-BR" w:eastAsia="en-US" w:bidi="ar-SA"/>
              </w:rPr>
              <w:t>100</w:t>
            </w:r>
          </w:p>
        </w:tc>
        <w:tc>
          <w:tcPr>
            <w:tcW w:w="1020" w:type="dxa"/>
            <w:tcBorders>
              <w:left w:val="single" w:sz="4" w:space="0" w:color="000000"/>
              <w:bottom w:val="single" w:sz="4" w:space="0" w:color="000000"/>
            </w:tcBorders>
            <w:vAlign w:val="center"/>
          </w:tcPr>
          <w:p>
            <w:pPr>
              <w:pStyle w:val="Normal"/>
              <w:widowControl w:val="false"/>
              <w:spacing w:lineRule="auto" w:line="240" w:before="0" w:after="0"/>
              <w:jc w:val="both"/>
              <w:rPr>
                <w:rFonts w:ascii="Verdana" w:hAnsi="Verdana"/>
                <w:sz w:val="20"/>
                <w:szCs w:val="20"/>
              </w:rPr>
            </w:pPr>
            <w:r>
              <w:rPr>
                <w:rFonts w:eastAsia="Calibri" w:cs="Arial" w:ascii="Verdana" w:hAnsi="Verdana"/>
                <w:b w:val="false"/>
                <w:bCs w:val="false"/>
                <w:kern w:val="0"/>
                <w:sz w:val="20"/>
                <w:szCs w:val="20"/>
                <w:lang w:val="pt-BR" w:eastAsia="en-US" w:bidi="ar-SA"/>
              </w:rPr>
              <w:t>rack</w:t>
            </w:r>
          </w:p>
        </w:tc>
        <w:tc>
          <w:tcPr>
            <w:tcW w:w="1355" w:type="dxa"/>
            <w:tcBorders>
              <w:left w:val="single" w:sz="4" w:space="0" w:color="000000"/>
              <w:bottom w:val="single" w:sz="4" w:space="0" w:color="000000"/>
              <w:right w:val="single" w:sz="4" w:space="0" w:color="000000"/>
            </w:tcBorders>
            <w:vAlign w:val="center"/>
          </w:tcPr>
          <w:p>
            <w:pPr>
              <w:pStyle w:val="Normal"/>
              <w:widowControl w:val="false"/>
              <w:spacing w:lineRule="auto" w:line="240" w:before="0" w:after="160"/>
              <w:jc w:val="center"/>
              <w:rPr>
                <w:rFonts w:ascii="Verdana" w:hAnsi="Verdana"/>
                <w:sz w:val="20"/>
                <w:szCs w:val="20"/>
              </w:rPr>
            </w:pPr>
            <w:r>
              <w:rPr>
                <w:rFonts w:ascii="Verdana" w:hAnsi="Verdana"/>
                <w:sz w:val="20"/>
                <w:szCs w:val="20"/>
              </w:rPr>
              <w:t>R$136,00</w:t>
            </w:r>
          </w:p>
        </w:tc>
        <w:tc>
          <w:tcPr>
            <w:tcW w:w="1586" w:type="dxa"/>
            <w:tcBorders>
              <w:left w:val="single" w:sz="4" w:space="0" w:color="000000"/>
              <w:bottom w:val="single" w:sz="4" w:space="0" w:color="000000"/>
              <w:right w:val="single" w:sz="4" w:space="0" w:color="000000"/>
            </w:tcBorders>
            <w:vAlign w:val="center"/>
          </w:tcPr>
          <w:p>
            <w:pPr>
              <w:pStyle w:val="Normal"/>
              <w:widowControl w:val="false"/>
              <w:spacing w:lineRule="auto" w:line="240" w:before="0" w:after="160"/>
              <w:jc w:val="center"/>
              <w:rPr>
                <w:rFonts w:ascii="Verdana" w:hAnsi="Verdana"/>
                <w:sz w:val="20"/>
                <w:szCs w:val="20"/>
              </w:rPr>
            </w:pPr>
            <w:r>
              <w:rPr>
                <w:rFonts w:ascii="Verdana" w:hAnsi="Verdana"/>
                <w:sz w:val="20"/>
                <w:szCs w:val="20"/>
              </w:rPr>
              <w:t>R$13.600,00</w:t>
            </w:r>
          </w:p>
        </w:tc>
      </w:tr>
      <w:tr>
        <w:trPr>
          <w:trHeight w:val="206" w:hRule="atLeast"/>
        </w:trPr>
        <w:tc>
          <w:tcPr>
            <w:tcW w:w="9280" w:type="dxa"/>
            <w:gridSpan w:val="6"/>
            <w:tcBorders>
              <w:left w:val="single" w:sz="4" w:space="0" w:color="000000"/>
              <w:bottom w:val="single" w:sz="4" w:space="0" w:color="000000"/>
              <w:right w:val="single" w:sz="4" w:space="0" w:color="000000"/>
            </w:tcBorders>
            <w:vAlign w:val="center"/>
          </w:tcPr>
          <w:p>
            <w:pPr>
              <w:pStyle w:val="Contedodatabela"/>
              <w:widowControl w:val="false"/>
              <w:tabs>
                <w:tab w:val="clear" w:pos="708"/>
              </w:tabs>
              <w:spacing w:lineRule="auto" w:line="240" w:before="0" w:after="0"/>
              <w:jc w:val="right"/>
              <w:rPr>
                <w:rFonts w:ascii="Verdana" w:hAnsi="Verdana" w:cs="Arial"/>
                <w:b/>
                <w:sz w:val="20"/>
                <w:szCs w:val="20"/>
                <w:u w:val="single"/>
              </w:rPr>
            </w:pPr>
            <w:r>
              <w:rPr>
                <w:rFonts w:cs="Arial" w:ascii="Verdana" w:hAnsi="Verdana"/>
                <w:b/>
                <w:sz w:val="20"/>
                <w:szCs w:val="20"/>
                <w:u w:val="single"/>
              </w:rPr>
            </w:r>
          </w:p>
          <w:p>
            <w:pPr>
              <w:pStyle w:val="Normal"/>
              <w:widowControl w:val="false"/>
              <w:tabs>
                <w:tab w:val="clear" w:pos="708"/>
              </w:tabs>
              <w:spacing w:lineRule="auto" w:line="240"/>
              <w:jc w:val="right"/>
              <w:rPr>
                <w:rFonts w:ascii="Verdana" w:hAnsi="Verdana"/>
                <w:sz w:val="20"/>
                <w:szCs w:val="20"/>
              </w:rPr>
            </w:pPr>
            <w:r>
              <w:rPr>
                <w:rFonts w:cs="Arial" w:ascii="Verdana" w:hAnsi="Verdana"/>
                <w:b/>
                <w:bCs/>
                <w:sz w:val="20"/>
                <w:szCs w:val="20"/>
              </w:rPr>
              <w:t>VALOR ESTIMADO TOTAL  R$65.478,00</w:t>
            </w:r>
          </w:p>
        </w:tc>
      </w:tr>
    </w:tbl>
    <w:p>
      <w:pPr>
        <w:pStyle w:val="Normal"/>
        <w:widowControl w:val="false"/>
        <w:tabs>
          <w:tab w:val="clear" w:pos="708"/>
          <w:tab w:val="left" w:pos="0" w:leader="none"/>
        </w:tabs>
        <w:suppressAutoHyphens w:val="false"/>
        <w:spacing w:lineRule="auto" w:line="240"/>
        <w:ind w:left="0" w:right="0" w:hanging="0"/>
        <w:jc w:val="both"/>
        <w:rPr>
          <w:rFonts w:ascii="Verdana" w:hAnsi="Verdana" w:cs="Arial"/>
          <w:b/>
          <w:sz w:val="20"/>
          <w:szCs w:val="20"/>
          <w:u w:val="single"/>
        </w:rPr>
      </w:pPr>
      <w:r>
        <w:rPr>
          <w:rFonts w:cs="Arial" w:ascii="Verdana" w:hAnsi="Verdana"/>
          <w:b/>
          <w:sz w:val="20"/>
          <w:szCs w:val="20"/>
          <w:u w:val="single"/>
        </w:rPr>
      </w:r>
    </w:p>
    <w:p>
      <w:pPr>
        <w:pStyle w:val="Normal"/>
        <w:suppressAutoHyphens w:val="false"/>
        <w:spacing w:lineRule="auto" w:line="240"/>
        <w:ind w:left="-22" w:right="0" w:hanging="0"/>
        <w:jc w:val="both"/>
        <w:rPr>
          <w:rFonts w:ascii="Verdana" w:hAnsi="Verdana"/>
          <w:sz w:val="20"/>
          <w:szCs w:val="20"/>
        </w:rPr>
      </w:pPr>
      <w:r>
        <w:rPr>
          <w:rFonts w:ascii="Verdana" w:hAnsi="Verdana"/>
          <w:b w:val="false"/>
          <w:bCs w:val="false"/>
          <w:iCs/>
          <w:sz w:val="20"/>
          <w:szCs w:val="20"/>
        </w:rPr>
        <w:t>1.2</w:t>
      </w:r>
      <w:bookmarkStart w:id="0" w:name="art23§712"/>
      <w:r>
        <w:rPr>
          <w:rFonts w:ascii="Verdana" w:hAnsi="Verdana"/>
          <w:b w:val="false"/>
          <w:bCs w:val="false"/>
          <w:iCs/>
          <w:sz w:val="20"/>
          <w:szCs w:val="20"/>
        </w:rPr>
        <w:t>. Os tubos descartáveis de laboratório deverão obrigatoriamente, atender as exigências de qualidade, observados os padrões e normas baixadas pelos órgãos competentes de controle e fiscalização de qualidade industrial ou equiparadas.</w:t>
      </w:r>
      <w:bookmarkStart w:id="1" w:name="art23§711"/>
    </w:p>
    <w:p>
      <w:pPr>
        <w:pStyle w:val="ListParagraph"/>
        <w:suppressAutoHyphens w:val="false"/>
        <w:spacing w:lineRule="auto" w:line="240"/>
        <w:ind w:left="-22" w:right="0" w:hanging="0"/>
        <w:jc w:val="both"/>
        <w:rPr>
          <w:rFonts w:ascii="Verdana" w:hAnsi="Verdana"/>
          <w:sz w:val="20"/>
          <w:szCs w:val="20"/>
        </w:rPr>
      </w:pPr>
      <w:r>
        <w:rPr>
          <w:rFonts w:ascii="Verdana" w:hAnsi="Verdana"/>
          <w:b w:val="false"/>
          <w:bCs w:val="false"/>
          <w:iCs/>
          <w:sz w:val="20"/>
          <w:szCs w:val="20"/>
        </w:rPr>
        <w:t>1.3.</w:t>
      </w:r>
      <w:r>
        <w:rPr>
          <w:rFonts w:ascii="Verdana" w:hAnsi="Verdana"/>
          <w:b w:val="false"/>
          <w:bCs w:val="false"/>
          <w:iCs/>
          <w:sz w:val="20"/>
          <w:szCs w:val="20"/>
          <w:u w:val="none"/>
        </w:rPr>
        <w:t xml:space="preserve"> </w:t>
      </w:r>
      <w:r>
        <w:rPr>
          <w:rFonts w:cs="Arial" w:ascii="Verdana" w:hAnsi="Verdana"/>
          <w:b w:val="false"/>
          <w:bCs w:val="false"/>
          <w:iCs/>
          <w:color w:val="000000"/>
          <w:sz w:val="20"/>
          <w:szCs w:val="20"/>
          <w:u w:val="none"/>
        </w:rPr>
        <w:t xml:space="preserve">O prazo de vigência da </w:t>
      </w:r>
      <w:r>
        <w:rPr>
          <w:rFonts w:eastAsia="Times New Roman" w:cs="Arial" w:ascii="Verdana" w:hAnsi="Verdana"/>
          <w:b w:val="false"/>
          <w:bCs w:val="false"/>
          <w:iCs/>
          <w:color w:val="000000"/>
          <w:sz w:val="20"/>
          <w:szCs w:val="20"/>
          <w:u w:val="none"/>
        </w:rPr>
        <w:t>aquisição</w:t>
      </w:r>
      <w:r>
        <w:rPr>
          <w:rFonts w:cs="Arial" w:ascii="Verdana" w:hAnsi="Verdana"/>
          <w:b w:val="false"/>
          <w:bCs w:val="false"/>
          <w:iCs/>
          <w:color w:val="000000"/>
          <w:sz w:val="20"/>
          <w:szCs w:val="20"/>
          <w:u w:val="none"/>
        </w:rPr>
        <w:t xml:space="preserve"> será de 01 (</w:t>
      </w:r>
      <w:r>
        <w:rPr>
          <w:rFonts w:eastAsia="Times New Roman" w:cs="Arial" w:ascii="Verdana" w:hAnsi="Verdana"/>
          <w:b w:val="false"/>
          <w:bCs w:val="false"/>
          <w:iCs/>
          <w:color w:val="000000"/>
          <w:sz w:val="20"/>
          <w:szCs w:val="20"/>
          <w:u w:val="none"/>
        </w:rPr>
        <w:t>um</w:t>
      </w:r>
      <w:r>
        <w:rPr>
          <w:rFonts w:cs="Arial" w:ascii="Verdana" w:hAnsi="Verdana"/>
          <w:b w:val="false"/>
          <w:bCs w:val="false"/>
          <w:iCs/>
          <w:color w:val="000000"/>
          <w:sz w:val="20"/>
          <w:szCs w:val="20"/>
          <w:u w:val="none"/>
        </w:rPr>
        <w:t xml:space="preserve">) ano, </w:t>
      </w:r>
      <w:r>
        <w:rPr>
          <w:rFonts w:cs="Arial" w:ascii="Verdana" w:hAnsi="Verdana"/>
          <w:b w:val="false"/>
          <w:bCs w:val="false"/>
          <w:iCs/>
          <w:color w:val="FF0000"/>
          <w:sz w:val="20"/>
          <w:szCs w:val="20"/>
          <w:u w:val="none"/>
        </w:rPr>
        <w:t xml:space="preserve"> </w:t>
      </w:r>
      <w:r>
        <w:rPr>
          <w:rFonts w:cs="Arial" w:ascii="Verdana" w:hAnsi="Verdana"/>
          <w:b w:val="false"/>
          <w:bCs w:val="false"/>
          <w:iCs/>
          <w:color w:val="000000"/>
          <w:sz w:val="20"/>
          <w:szCs w:val="20"/>
          <w:u w:val="none"/>
        </w:rPr>
        <w:t>contados a partir da assinatura da Ata de Registro de Preços.</w:t>
      </w:r>
    </w:p>
    <w:p>
      <w:pPr>
        <w:pStyle w:val="ListParagraph"/>
        <w:tabs>
          <w:tab w:val="clear" w:pos="708"/>
          <w:tab w:val="left" w:pos="0" w:leader="none"/>
        </w:tabs>
        <w:suppressAutoHyphens w:val="false"/>
        <w:spacing w:lineRule="auto" w:line="240"/>
        <w:ind w:left="0" w:right="0" w:hanging="0"/>
        <w:jc w:val="both"/>
        <w:rPr>
          <w:rFonts w:ascii="Verdana" w:hAnsi="Verdana"/>
          <w:sz w:val="20"/>
          <w:szCs w:val="20"/>
        </w:rPr>
      </w:pPr>
      <w:r>
        <w:rPr>
          <w:rFonts w:eastAsia="Times New Roman" w:cs="Times New Roman" w:ascii="Verdana" w:hAnsi="Verdana"/>
          <w:b w:val="false"/>
          <w:bCs w:val="false"/>
          <w:iCs/>
          <w:color w:val="000000"/>
          <w:sz w:val="20"/>
          <w:szCs w:val="20"/>
        </w:rPr>
        <w:t>1.4. O custo estimado total da aquisição é de</w:t>
      </w:r>
      <w:r>
        <w:rPr>
          <w:rFonts w:eastAsia="Times New Roman" w:cs="Times New Roman" w:ascii="Verdana" w:hAnsi="Verdana"/>
          <w:b w:val="false"/>
          <w:bCs w:val="false"/>
          <w:i/>
          <w:iCs/>
          <w:color w:val="FF0000"/>
          <w:sz w:val="20"/>
          <w:szCs w:val="20"/>
        </w:rPr>
        <w:t xml:space="preserve"> </w:t>
      </w:r>
      <w:r>
        <w:rPr>
          <w:rFonts w:eastAsia="Times New Roman" w:cs="Arial" w:ascii="Verdana" w:hAnsi="Verdana"/>
          <w:b w:val="false"/>
          <w:bCs w:val="false"/>
          <w:i w:val="false"/>
          <w:iCs w:val="false"/>
          <w:color w:val="000000"/>
          <w:sz w:val="20"/>
          <w:szCs w:val="20"/>
          <w:lang w:eastAsia="zh-CN"/>
        </w:rPr>
        <w:t xml:space="preserve">R$ </w:t>
      </w:r>
      <w:r>
        <w:rPr>
          <w:rFonts w:eastAsia="Times New Roman" w:cs="Arial" w:ascii="Verdana" w:hAnsi="Verdana"/>
          <w:b/>
          <w:bCs/>
          <w:i w:val="false"/>
          <w:iCs w:val="false"/>
          <w:color w:val="111111"/>
          <w:sz w:val="20"/>
          <w:szCs w:val="20"/>
          <w:lang w:eastAsia="zh-CN"/>
        </w:rPr>
        <w:t>65.478,00</w:t>
      </w:r>
      <w:r>
        <w:rPr>
          <w:rFonts w:eastAsia="Times New Roman" w:cs="Arial" w:ascii="Verdana" w:hAnsi="Verdana"/>
          <w:b w:val="false"/>
          <w:bCs w:val="false"/>
          <w:i w:val="false"/>
          <w:iCs w:val="false"/>
          <w:color w:val="000000"/>
          <w:sz w:val="20"/>
          <w:szCs w:val="20"/>
          <w:lang w:eastAsia="zh-CN"/>
        </w:rPr>
        <w:t xml:space="preserve"> ( sessenta e cinco mil quatrocentos e setenta e oito reais)</w:t>
      </w:r>
      <w:r>
        <w:rPr>
          <w:rFonts w:eastAsia="Times New Roman" w:cs="Times New Roman" w:ascii="Verdana" w:hAnsi="Verdana"/>
          <w:b w:val="false"/>
          <w:bCs w:val="false"/>
          <w:i/>
          <w:iCs/>
          <w:color w:val="000000"/>
          <w:sz w:val="20"/>
          <w:szCs w:val="20"/>
        </w:rPr>
        <w:t xml:space="preserve"> </w:t>
      </w:r>
      <w:r>
        <w:rPr>
          <w:rFonts w:eastAsia="Times New Roman" w:cs="Times New Roman" w:ascii="Verdana" w:hAnsi="Verdana"/>
          <w:b w:val="false"/>
          <w:bCs w:val="false"/>
          <w:iCs/>
          <w:color w:val="000000"/>
          <w:sz w:val="20"/>
          <w:szCs w:val="20"/>
        </w:rPr>
        <w:t>conforme custos unitários  apostos nos orçame</w:t>
      </w:r>
      <w:r>
        <w:rPr>
          <w:rFonts w:eastAsia="Times New Roman" w:cs="Times New Roman" w:ascii="Verdana" w:hAnsi="Verdana"/>
          <w:iCs/>
          <w:color w:val="000000"/>
          <w:sz w:val="20"/>
          <w:szCs w:val="20"/>
        </w:rPr>
        <w:t>ntos e no quadro comparativo de preços simples em anexo.</w:t>
      </w:r>
    </w:p>
    <w:p>
      <w:pPr>
        <w:pStyle w:val="ListParagraph"/>
        <w:tabs>
          <w:tab w:val="clear" w:pos="708"/>
          <w:tab w:val="left" w:pos="0" w:leader="none"/>
        </w:tabs>
        <w:suppressAutoHyphens w:val="false"/>
        <w:spacing w:lineRule="auto" w:line="240"/>
        <w:ind w:left="0" w:right="0" w:hanging="0"/>
        <w:jc w:val="both"/>
        <w:rPr>
          <w:rFonts w:ascii="Verdana" w:hAnsi="Verdana"/>
          <w:sz w:val="20"/>
          <w:szCs w:val="20"/>
        </w:rPr>
      </w:pPr>
      <w:r>
        <w:rPr>
          <w:rFonts w:ascii="Verdana" w:hAnsi="Verdana"/>
          <w:b w:val="false"/>
          <w:bCs w:val="false"/>
          <w:sz w:val="20"/>
          <w:szCs w:val="20"/>
          <w:u w:val="none"/>
        </w:rPr>
        <w:t xml:space="preserve">1.5. </w:t>
      </w:r>
      <w:r>
        <w:rPr>
          <w:rFonts w:eastAsia="Times New Roman" w:cs="Times New Roman" w:ascii="Verdana" w:hAnsi="Verdana"/>
          <w:b w:val="false"/>
          <w:bCs w:val="false"/>
          <w:color w:val="000000"/>
          <w:sz w:val="20"/>
          <w:szCs w:val="20"/>
          <w:u w:val="none"/>
        </w:rPr>
        <w:t>Justifica-se a utilização de modelo de referência a fim de determinar com maior precisão a qualidade do produto que esta Administração deseja, com a finalidade de garantir maior eficiência nas compras realizadas pelo Município (art. 41, I “d, Lei 14.133/2021).</w:t>
      </w:r>
    </w:p>
    <w:p>
      <w:pPr>
        <w:pStyle w:val="ListParagraph"/>
        <w:tabs>
          <w:tab w:val="clear" w:pos="708"/>
          <w:tab w:val="left" w:pos="0" w:leader="none"/>
        </w:tabs>
        <w:suppressAutoHyphens w:val="false"/>
        <w:spacing w:lineRule="auto" w:line="240"/>
        <w:ind w:left="0" w:right="0" w:hanging="0"/>
        <w:jc w:val="both"/>
        <w:rPr>
          <w:rFonts w:ascii="Verdana" w:hAnsi="Verdana" w:cs="Arial"/>
          <w:b/>
          <w:sz w:val="20"/>
          <w:szCs w:val="20"/>
          <w:u w:val="single"/>
        </w:rPr>
      </w:pPr>
      <w:r>
        <w:rPr>
          <w:rFonts w:cs="Arial" w:ascii="Verdana" w:hAnsi="Verdana"/>
          <w:b/>
          <w:sz w:val="20"/>
          <w:szCs w:val="20"/>
          <w:u w:val="single"/>
        </w:rPr>
      </w:r>
    </w:p>
    <w:p>
      <w:pPr>
        <w:pStyle w:val="Nivel1"/>
        <w:spacing w:lineRule="auto" w:line="240" w:before="0" w:after="0"/>
        <w:ind w:left="0" w:right="0" w:hanging="0"/>
        <w:rPr>
          <w:rFonts w:ascii="Verdana" w:hAnsi="Verdana"/>
          <w:sz w:val="20"/>
          <w:szCs w:val="20"/>
        </w:rPr>
      </w:pPr>
      <w:r>
        <w:rPr>
          <w:rFonts w:cs="Times New Roman" w:ascii="Verdana" w:hAnsi="Verdana"/>
          <w:bCs/>
          <w:sz w:val="20"/>
          <w:szCs w:val="20"/>
        </w:rPr>
        <w:t>2. FUNDAMENTAÇÃO E DESCRIÇÃO DA NECESSIDADE DA AQUISIÇÃO</w:t>
      </w:r>
      <w:bookmarkStart w:id="2" w:name="art23§71"/>
      <w:bookmarkStart w:id="3" w:name="art23§73"/>
    </w:p>
    <w:p>
      <w:pPr>
        <w:pStyle w:val="ListParagraph"/>
        <w:spacing w:lineRule="auto" w:line="240" w:before="0" w:after="0"/>
        <w:ind w:left="0" w:hanging="0"/>
        <w:contextualSpacing/>
        <w:jc w:val="both"/>
        <w:rPr>
          <w:rFonts w:ascii="Verdana" w:hAnsi="Verdana"/>
          <w:sz w:val="20"/>
          <w:szCs w:val="20"/>
        </w:rPr>
      </w:pPr>
      <w:r>
        <w:rPr>
          <w:rFonts w:cs="Arial" w:ascii="Verdana" w:hAnsi="Verdana"/>
          <w:b/>
          <w:bCs/>
          <w:sz w:val="20"/>
          <w:szCs w:val="20"/>
          <w:lang w:val="pt-BR"/>
        </w:rPr>
        <w:t>2</w:t>
      </w:r>
      <w:r>
        <w:rPr>
          <w:rFonts w:cs="Arial" w:ascii="Verdana" w:hAnsi="Verdana"/>
          <w:b/>
          <w:bCs/>
          <w:sz w:val="20"/>
          <w:szCs w:val="20"/>
        </w:rPr>
        <w:t xml:space="preserve">.1. </w:t>
      </w:r>
      <w:r>
        <w:rPr>
          <w:rFonts w:cs="Arial" w:ascii="Verdana" w:hAnsi="Verdana"/>
          <w:sz w:val="20"/>
          <w:szCs w:val="20"/>
        </w:rPr>
        <w:t xml:space="preserve">Aquisição </w:t>
      </w:r>
      <w:r>
        <w:rPr>
          <w:rFonts w:cs="Arial" w:ascii="Verdana" w:hAnsi="Verdana"/>
          <w:b/>
          <w:sz w:val="20"/>
          <w:szCs w:val="20"/>
        </w:rPr>
        <w:t xml:space="preserve">por meio de </w:t>
      </w:r>
      <w:r>
        <w:rPr>
          <w:rFonts w:cs="Arial" w:ascii="Verdana" w:hAnsi="Verdana"/>
          <w:b/>
          <w:sz w:val="20"/>
          <w:szCs w:val="20"/>
          <w:lang w:val="pt-BR"/>
        </w:rPr>
        <w:t>Registro de Preços</w:t>
      </w:r>
      <w:r>
        <w:rPr>
          <w:rFonts w:cs="Arial" w:ascii="Verdana" w:hAnsi="Verdana"/>
          <w:sz w:val="20"/>
          <w:szCs w:val="20"/>
          <w:lang w:val="pt-BR"/>
        </w:rPr>
        <w:t>;</w:t>
      </w:r>
    </w:p>
    <w:p>
      <w:pPr>
        <w:pStyle w:val="PargrafodaLista"/>
        <w:widowControl w:val="false"/>
        <w:tabs>
          <w:tab w:val="clear" w:pos="708"/>
          <w:tab w:val="left" w:pos="-2410" w:leader="none"/>
          <w:tab w:val="left" w:pos="567" w:leader="none"/>
        </w:tabs>
        <w:spacing w:lineRule="auto" w:line="240" w:before="0" w:after="0"/>
        <w:ind w:left="0" w:right="0" w:hanging="0"/>
        <w:contextualSpacing/>
        <w:jc w:val="both"/>
        <w:rPr>
          <w:rFonts w:ascii="Verdana" w:hAnsi="Verdana"/>
          <w:sz w:val="20"/>
          <w:szCs w:val="20"/>
        </w:rPr>
      </w:pPr>
      <w:r>
        <w:rPr>
          <w:rFonts w:cs="Arial" w:ascii="Verdana" w:hAnsi="Verdana"/>
          <w:b/>
          <w:bCs/>
          <w:color w:val="000000"/>
          <w:sz w:val="20"/>
          <w:szCs w:val="20"/>
          <w:shd w:fill="auto" w:val="clear"/>
        </w:rPr>
        <w:t xml:space="preserve">2.2. </w:t>
      </w:r>
      <w:r>
        <w:rPr>
          <w:rFonts w:cs="Arial" w:ascii="Verdana" w:hAnsi="Verdana"/>
          <w:b w:val="false"/>
          <w:bCs w:val="false"/>
          <w:color w:val="000000"/>
          <w:sz w:val="20"/>
          <w:szCs w:val="20"/>
          <w:shd w:fill="auto" w:val="clear"/>
        </w:rPr>
        <w:t>Garantir os atendimentos e procedimentos que são realizados diariamente pelo Laboratório Público Municipal, pois os tubos são utilizados desde o ato das coletas até a finalização dos exames, onde os mesmos são introduzidos nas máquinas para resultado final.</w:t>
      </w:r>
    </w:p>
    <w:p>
      <w:pPr>
        <w:pStyle w:val="PargrafodaLista"/>
        <w:widowControl w:val="false"/>
        <w:tabs>
          <w:tab w:val="clear" w:pos="708"/>
          <w:tab w:val="left" w:pos="-2410" w:leader="none"/>
          <w:tab w:val="left" w:pos="567" w:leader="none"/>
        </w:tabs>
        <w:spacing w:lineRule="auto" w:line="240" w:before="0" w:after="0"/>
        <w:ind w:left="0" w:right="0" w:hanging="0"/>
        <w:contextualSpacing/>
        <w:jc w:val="both"/>
        <w:rPr>
          <w:rFonts w:ascii="Verdana" w:hAnsi="Verdana" w:cs="Arial"/>
          <w:b w:val="false"/>
          <w:bCs w:val="false"/>
          <w:color w:val="000000"/>
          <w:sz w:val="20"/>
          <w:szCs w:val="20"/>
          <w:shd w:fill="auto" w:val="clear"/>
          <w:lang w:val="pt-BR"/>
        </w:rPr>
      </w:pPr>
      <w:r>
        <w:rPr>
          <w:rFonts w:cs="Arial" w:ascii="Verdana" w:hAnsi="Verdana"/>
          <w:b w:val="false"/>
          <w:bCs w:val="false"/>
          <w:color w:val="000000"/>
          <w:sz w:val="20"/>
          <w:szCs w:val="20"/>
          <w:shd w:fill="auto" w:val="clear"/>
          <w:lang w:val="pt-BR"/>
        </w:rPr>
      </w:r>
    </w:p>
    <w:p>
      <w:pPr>
        <w:pStyle w:val="ListParagraph"/>
        <w:spacing w:lineRule="auto" w:line="240"/>
        <w:ind w:left="0" w:right="0" w:hanging="0"/>
        <w:jc w:val="both"/>
        <w:rPr>
          <w:rFonts w:ascii="Verdana" w:hAnsi="Verdana"/>
          <w:sz w:val="20"/>
          <w:szCs w:val="20"/>
        </w:rPr>
      </w:pPr>
      <w:r>
        <w:rPr>
          <w:rFonts w:ascii="Verdana" w:hAnsi="Verdana"/>
          <w:b/>
          <w:bCs/>
          <w:sz w:val="20"/>
          <w:szCs w:val="20"/>
        </w:rPr>
        <w:t>3. DESCRIÇÃO DA SOLUÇÃO</w:t>
      </w:r>
    </w:p>
    <w:p>
      <w:pPr>
        <w:pStyle w:val="Normal"/>
        <w:spacing w:lineRule="auto" w:line="240"/>
        <w:ind w:right="143" w:hanging="0"/>
        <w:jc w:val="both"/>
        <w:rPr>
          <w:rFonts w:ascii="Verdana" w:hAnsi="Verdana"/>
          <w:sz w:val="20"/>
          <w:szCs w:val="20"/>
        </w:rPr>
      </w:pPr>
      <w:r>
        <w:rPr>
          <w:rFonts w:cs="Arial" w:ascii="Verdana" w:hAnsi="Verdana"/>
          <w:sz w:val="20"/>
          <w:szCs w:val="20"/>
          <w:lang w:val="pt-BR"/>
        </w:rPr>
        <w:t>3.0. A solução consiste em manter a oferta dos atendimentos referente a inúmeros tipos de exames que fornecidos pelo Laboratório Público Municipal.</w:t>
      </w:r>
    </w:p>
    <w:p>
      <w:pPr>
        <w:pStyle w:val="Normal"/>
        <w:spacing w:lineRule="auto" w:line="240"/>
        <w:ind w:right="143" w:hanging="0"/>
        <w:jc w:val="both"/>
        <w:rPr>
          <w:rFonts w:ascii="Verdana" w:hAnsi="Verdana"/>
          <w:sz w:val="20"/>
          <w:szCs w:val="20"/>
        </w:rPr>
      </w:pPr>
      <w:r>
        <w:rPr>
          <w:rFonts w:ascii="Verdana" w:hAnsi="Verdana"/>
          <w:sz w:val="20"/>
          <w:szCs w:val="20"/>
        </w:rPr>
      </w:r>
    </w:p>
    <w:p>
      <w:pPr>
        <w:pStyle w:val="Nivel1"/>
        <w:spacing w:lineRule="auto" w:line="240" w:before="0" w:after="0"/>
        <w:ind w:left="0" w:right="0" w:hanging="0"/>
        <w:rPr>
          <w:rFonts w:ascii="Verdana" w:hAnsi="Verdana"/>
          <w:sz w:val="20"/>
          <w:szCs w:val="20"/>
        </w:rPr>
      </w:pPr>
      <w:r>
        <w:rPr>
          <w:rFonts w:ascii="Verdana" w:hAnsi="Verdana"/>
          <w:bCs/>
          <w:sz w:val="20"/>
          <w:szCs w:val="20"/>
        </w:rPr>
        <w:t>4. CLASSIFICAÇÃO DOS BENS COMUNS</w:t>
      </w:r>
    </w:p>
    <w:p>
      <w:pPr>
        <w:pStyle w:val="Normal"/>
        <w:spacing w:lineRule="auto" w:line="240"/>
        <w:ind w:left="0" w:right="0" w:hanging="0"/>
        <w:jc w:val="both"/>
        <w:rPr>
          <w:rFonts w:ascii="Verdana" w:hAnsi="Verdana"/>
          <w:sz w:val="20"/>
          <w:szCs w:val="20"/>
        </w:rPr>
      </w:pPr>
      <w:r>
        <w:rPr>
          <w:rFonts w:cs="Arial" w:ascii="Verdana" w:hAnsi="Verdana"/>
          <w:b w:val="false"/>
          <w:bCs w:val="false"/>
          <w:color w:val="000000"/>
          <w:sz w:val="20"/>
          <w:szCs w:val="20"/>
        </w:rPr>
        <w:t xml:space="preserve">4.1. Trata-se de bens comuns a ser contratado mediante </w:t>
      </w:r>
      <w:r>
        <w:rPr>
          <w:rFonts w:eastAsia="Times New Roman" w:cs="Arial" w:ascii="Verdana" w:hAnsi="Verdana"/>
          <w:b w:val="false"/>
          <w:bCs w:val="false"/>
          <w:color w:val="000000"/>
          <w:sz w:val="20"/>
          <w:szCs w:val="20"/>
        </w:rPr>
        <w:t>registro de preços</w:t>
      </w:r>
      <w:r>
        <w:rPr>
          <w:rFonts w:cs="Arial" w:ascii="Verdana" w:hAnsi="Verdana"/>
          <w:b w:val="false"/>
          <w:bCs w:val="false"/>
          <w:color w:val="000000"/>
          <w:sz w:val="20"/>
          <w:szCs w:val="20"/>
        </w:rPr>
        <w:t>.</w:t>
      </w:r>
    </w:p>
    <w:p>
      <w:pPr>
        <w:pStyle w:val="Normal"/>
        <w:spacing w:lineRule="auto" w:line="240"/>
        <w:ind w:left="0" w:right="0" w:hanging="0"/>
        <w:jc w:val="both"/>
        <w:rPr>
          <w:rFonts w:ascii="Verdana" w:hAnsi="Verdana"/>
          <w:sz w:val="20"/>
          <w:szCs w:val="20"/>
        </w:rPr>
      </w:pPr>
      <w:r>
        <w:rPr>
          <w:rFonts w:ascii="Verdana" w:hAnsi="Verdana"/>
          <w:sz w:val="20"/>
          <w:szCs w:val="20"/>
        </w:rPr>
      </w:r>
    </w:p>
    <w:p>
      <w:pPr>
        <w:pStyle w:val="Normal"/>
        <w:spacing w:lineRule="auto" w:line="240"/>
        <w:ind w:left="0" w:right="0" w:hanging="0"/>
        <w:jc w:val="both"/>
        <w:rPr>
          <w:rFonts w:ascii="Verdana" w:hAnsi="Verdana"/>
          <w:sz w:val="20"/>
          <w:szCs w:val="20"/>
        </w:rPr>
      </w:pPr>
      <w:r>
        <w:rPr>
          <w:rFonts w:cs="Arial" w:ascii="Verdana" w:hAnsi="Verdana"/>
          <w:b/>
          <w:bCs/>
          <w:color w:val="000000"/>
          <w:sz w:val="20"/>
          <w:szCs w:val="20"/>
        </w:rPr>
        <w:t>5. REQUISITOS DA CONTRATAÇÃO/AQUISIÇÃO</w:t>
      </w:r>
    </w:p>
    <w:p>
      <w:pPr>
        <w:pStyle w:val="Normal"/>
        <w:spacing w:lineRule="auto" w:line="240"/>
        <w:ind w:left="0" w:right="0" w:hanging="0"/>
        <w:jc w:val="both"/>
        <w:rPr>
          <w:rFonts w:ascii="Verdana" w:hAnsi="Verdana"/>
          <w:sz w:val="20"/>
          <w:szCs w:val="20"/>
        </w:rPr>
      </w:pPr>
      <w:r>
        <w:rPr>
          <w:rFonts w:ascii="Verdana" w:hAnsi="Verdana"/>
          <w:b w:val="false"/>
          <w:bCs w:val="false"/>
          <w:sz w:val="20"/>
          <w:szCs w:val="20"/>
        </w:rPr>
        <w:t xml:space="preserve">A </w:t>
      </w:r>
      <w:r>
        <w:rPr>
          <w:rFonts w:eastAsia="Times New Roman" w:cs="Times New Roman" w:ascii="Verdana" w:hAnsi="Verdana"/>
          <w:b w:val="false"/>
          <w:bCs w:val="false"/>
          <w:sz w:val="20"/>
          <w:szCs w:val="20"/>
        </w:rPr>
        <w:t>aquis</w:t>
      </w:r>
      <w:r>
        <w:rPr>
          <w:rFonts w:eastAsia="Times New Roman" w:cs="Times New Roman" w:ascii="Verdana" w:hAnsi="Verdana"/>
          <w:sz w:val="20"/>
          <w:szCs w:val="20"/>
        </w:rPr>
        <w:t>ição</w:t>
      </w:r>
      <w:r>
        <w:rPr>
          <w:rFonts w:ascii="Verdana" w:hAnsi="Verdana"/>
          <w:sz w:val="20"/>
          <w:szCs w:val="20"/>
        </w:rPr>
        <w:t xml:space="preserve"> deverá observar os seguintes requisitos:</w:t>
      </w:r>
    </w:p>
    <w:p>
      <w:pPr>
        <w:pStyle w:val="Normal"/>
        <w:spacing w:lineRule="auto" w:line="240"/>
        <w:ind w:left="0" w:right="0" w:hanging="0"/>
        <w:jc w:val="both"/>
        <w:rPr>
          <w:rFonts w:ascii="Verdana" w:hAnsi="Verdana"/>
          <w:sz w:val="20"/>
          <w:szCs w:val="20"/>
        </w:rPr>
      </w:pPr>
      <w:r>
        <w:rPr>
          <w:rFonts w:ascii="Verdana" w:hAnsi="Verdana"/>
          <w:b w:val="false"/>
          <w:bCs w:val="false"/>
          <w:sz w:val="20"/>
          <w:szCs w:val="20"/>
        </w:rPr>
        <w:t>5.1. Não haverá danos ao meio ambiente, uma vez que a aquisição não gera  problema para a Administração Pública.</w:t>
      </w:r>
    </w:p>
    <w:p>
      <w:pPr>
        <w:pStyle w:val="ListParagraph"/>
        <w:tabs>
          <w:tab w:val="clear" w:pos="708"/>
          <w:tab w:val="left" w:pos="450" w:leader="none"/>
        </w:tabs>
        <w:suppressAutoHyphens w:val="false"/>
        <w:spacing w:lineRule="auto" w:line="240"/>
        <w:ind w:left="35" w:right="0" w:hanging="0"/>
        <w:jc w:val="both"/>
        <w:rPr>
          <w:rFonts w:ascii="Verdana" w:hAnsi="Verdana"/>
          <w:sz w:val="20"/>
          <w:szCs w:val="20"/>
        </w:rPr>
      </w:pPr>
      <w:r>
        <w:rPr>
          <w:rFonts w:ascii="Verdana" w:hAnsi="Verdana"/>
          <w:b w:val="false"/>
          <w:bCs w:val="false"/>
          <w:i w:val="false"/>
          <w:iCs w:val="false"/>
          <w:sz w:val="20"/>
          <w:szCs w:val="20"/>
        </w:rPr>
        <w:t xml:space="preserve">5.2. A aquisição se dará por </w:t>
      </w:r>
      <w:r>
        <w:rPr>
          <w:rFonts w:eastAsia="Times New Roman" w:cs="Times New Roman" w:ascii="Verdana" w:hAnsi="Verdana"/>
          <w:b w:val="false"/>
          <w:bCs w:val="false"/>
          <w:i w:val="false"/>
          <w:iCs w:val="false"/>
          <w:sz w:val="20"/>
          <w:szCs w:val="20"/>
        </w:rPr>
        <w:t>registro de preços</w:t>
      </w:r>
      <w:r>
        <w:rPr>
          <w:rFonts w:ascii="Verdana" w:hAnsi="Verdana"/>
          <w:b w:val="false"/>
          <w:bCs w:val="false"/>
          <w:i w:val="false"/>
          <w:iCs w:val="false"/>
          <w:sz w:val="20"/>
          <w:szCs w:val="20"/>
        </w:rPr>
        <w:t xml:space="preserve">, </w:t>
      </w:r>
      <w:r>
        <w:rPr>
          <w:rFonts w:eastAsia="Times New Roman" w:cs="Arial" w:ascii="Verdana" w:hAnsi="Verdana"/>
          <w:b w:val="false"/>
          <w:bCs w:val="false"/>
          <w:i w:val="false"/>
          <w:iCs w:val="false"/>
          <w:sz w:val="20"/>
          <w:szCs w:val="20"/>
        </w:rPr>
        <w:t xml:space="preserve">sendo necessária a emissão de autorização de fornecimento </w:t>
      </w:r>
      <w:r>
        <w:rPr>
          <w:rFonts w:eastAsia="Times New Roman" w:cs="Arial" w:ascii="Verdana" w:hAnsi="Verdana"/>
          <w:b w:val="false"/>
          <w:bCs w:val="false"/>
          <w:i w:val="false"/>
          <w:iCs w:val="false"/>
          <w:sz w:val="20"/>
          <w:szCs w:val="20"/>
          <w:lang w:eastAsia="zh-CN"/>
        </w:rPr>
        <w:t xml:space="preserve">dos itens concedendo o prazo de 20 ( vinte)  dias para a entrega, </w:t>
      </w:r>
      <w:r>
        <w:rPr>
          <w:rFonts w:ascii="Verdana" w:hAnsi="Verdana"/>
          <w:b w:val="false"/>
          <w:bCs w:val="false"/>
          <w:i w:val="false"/>
          <w:iCs w:val="false"/>
          <w:sz w:val="20"/>
          <w:szCs w:val="20"/>
        </w:rPr>
        <w:t>por parte DA CONTRATADA sendo sagrado vencedor o fornecedor que apresentar o menor valor por item a ser adquirido.</w:t>
      </w:r>
    </w:p>
    <w:p>
      <w:pPr>
        <w:pStyle w:val="ListParagraph"/>
        <w:tabs>
          <w:tab w:val="clear" w:pos="708"/>
          <w:tab w:val="left" w:pos="450" w:leader="none"/>
        </w:tabs>
        <w:suppressAutoHyphens w:val="false"/>
        <w:spacing w:lineRule="auto" w:line="240"/>
        <w:ind w:left="35" w:right="0" w:hanging="0"/>
        <w:jc w:val="both"/>
        <w:rPr>
          <w:rFonts w:ascii="Verdana" w:hAnsi="Verdana"/>
          <w:sz w:val="20"/>
          <w:szCs w:val="20"/>
        </w:rPr>
      </w:pPr>
      <w:r>
        <w:rPr>
          <w:rFonts w:ascii="Verdana" w:hAnsi="Verdana"/>
          <w:b w:val="false"/>
          <w:bCs w:val="false"/>
          <w:i w:val="false"/>
          <w:iCs w:val="false"/>
          <w:sz w:val="20"/>
          <w:szCs w:val="20"/>
        </w:rPr>
        <w:t xml:space="preserve">5.3. </w:t>
      </w:r>
      <w:r>
        <w:rPr>
          <w:rFonts w:ascii="Verdana" w:hAnsi="Verdana"/>
          <w:b w:val="false"/>
          <w:bCs w:val="false"/>
          <w:i w:val="false"/>
          <w:iCs w:val="false"/>
          <w:sz w:val="20"/>
          <w:szCs w:val="20"/>
          <w:u w:val="none"/>
        </w:rPr>
        <w:t xml:space="preserve">A empresa detentora da ata registrará o preço por 01 (um) </w:t>
      </w:r>
      <w:r>
        <w:rPr>
          <w:rFonts w:eastAsia="Times New Roman" w:cs="Times New Roman" w:ascii="Verdana" w:hAnsi="Verdana"/>
          <w:b w:val="false"/>
          <w:bCs w:val="false"/>
          <w:i w:val="false"/>
          <w:iCs w:val="false"/>
          <w:sz w:val="20"/>
          <w:szCs w:val="20"/>
          <w:u w:val="none"/>
        </w:rPr>
        <w:t>ano</w:t>
      </w:r>
      <w:r>
        <w:rPr>
          <w:rFonts w:ascii="Verdana" w:hAnsi="Verdana"/>
          <w:b w:val="false"/>
          <w:bCs w:val="false"/>
          <w:i w:val="false"/>
          <w:iCs w:val="false"/>
          <w:sz w:val="20"/>
          <w:szCs w:val="20"/>
        </w:rPr>
        <w:t>, podendo ou não a secretaria requisitar a entrega do material dependendo da demanda.</w:t>
      </w:r>
    </w:p>
    <w:p>
      <w:pPr>
        <w:pStyle w:val="Normal"/>
        <w:spacing w:lineRule="auto" w:line="240" w:before="0" w:after="0"/>
        <w:jc w:val="both"/>
        <w:rPr>
          <w:rFonts w:ascii="Verdana" w:hAnsi="Verdana"/>
          <w:sz w:val="20"/>
          <w:szCs w:val="20"/>
        </w:rPr>
      </w:pPr>
      <w:r>
        <w:rPr>
          <w:rFonts w:cs="Arial" w:ascii="Verdana" w:hAnsi="Verdana"/>
          <w:b w:val="false"/>
          <w:bCs w:val="false"/>
          <w:sz w:val="20"/>
          <w:szCs w:val="20"/>
          <w:shd w:fill="auto" w:val="clear"/>
        </w:rPr>
        <w:t>5.4. Não transferir a outrem o objeto estabelecido neste TR, sem prévia e expressa anuência do contratante;</w:t>
      </w:r>
    </w:p>
    <w:p>
      <w:pPr>
        <w:pStyle w:val="Normal"/>
        <w:spacing w:lineRule="auto" w:line="240"/>
        <w:jc w:val="both"/>
        <w:rPr>
          <w:rFonts w:ascii="Verdana" w:hAnsi="Verdana"/>
          <w:sz w:val="20"/>
          <w:szCs w:val="20"/>
        </w:rPr>
      </w:pPr>
      <w:r>
        <w:rPr>
          <w:rFonts w:cs="Arial" w:ascii="Verdana" w:hAnsi="Verdana"/>
          <w:b w:val="false"/>
          <w:bCs w:val="false"/>
          <w:color w:val="000000"/>
          <w:sz w:val="20"/>
          <w:szCs w:val="20"/>
          <w:shd w:fill="auto" w:val="clear"/>
        </w:rPr>
        <w:t>5.5. Manter, durante o período de vigência do contrato, todas as condições que enseiaram contratação, particularmente no que tange à regularidade fiscal, tributária, trabalhista e qualificação técnica;</w:t>
      </w:r>
    </w:p>
    <w:p>
      <w:pPr>
        <w:pStyle w:val="Normal"/>
        <w:spacing w:lineRule="auto" w:line="240" w:before="0" w:after="0"/>
        <w:jc w:val="both"/>
        <w:rPr>
          <w:rFonts w:ascii="Verdana" w:hAnsi="Verdana"/>
          <w:sz w:val="20"/>
          <w:szCs w:val="20"/>
        </w:rPr>
      </w:pPr>
      <w:r>
        <w:rPr>
          <w:rFonts w:cs="Arial" w:ascii="Verdana" w:hAnsi="Verdana"/>
          <w:b w:val="false"/>
          <w:bCs w:val="false"/>
          <w:sz w:val="20"/>
          <w:szCs w:val="20"/>
          <w:shd w:fill="auto" w:val="clear"/>
        </w:rPr>
        <w:t>5.6</w:t>
      </w:r>
      <w:r>
        <w:rPr>
          <w:rFonts w:cs="Arial" w:ascii="Verdana" w:hAnsi="Verdana"/>
          <w:b/>
          <w:bCs/>
          <w:sz w:val="20"/>
          <w:szCs w:val="20"/>
          <w:shd w:fill="auto" w:val="clear"/>
        </w:rPr>
        <w:t>.</w:t>
      </w:r>
      <w:r>
        <w:rPr>
          <w:rFonts w:cs="Arial" w:ascii="Verdana" w:hAnsi="Verdana"/>
          <w:b w:val="false"/>
          <w:bCs w:val="false"/>
          <w:sz w:val="20"/>
          <w:szCs w:val="20"/>
          <w:shd w:fill="auto" w:val="clear"/>
        </w:rPr>
        <w:t xml:space="preserve"> Responder por quaisquer danos pessoais ou materiais ocasionados por seus empregados ou prepostos durante o fornecimento do objeto licitado, responder por quaisquer prejuízo que seus empregados ou prepostos causarem ao patrimônio da CONTRATANTE ou terceiros, decorrente de ação ou omissão culposa ou dolosa, procedendo imediatamente aos reparos ou indenizações cabíveis e assumindo o ônus decorrente;</w:t>
      </w:r>
    </w:p>
    <w:p>
      <w:pPr>
        <w:pStyle w:val="Normal"/>
        <w:spacing w:lineRule="auto" w:line="240" w:before="0" w:after="0"/>
        <w:jc w:val="both"/>
        <w:rPr>
          <w:rFonts w:ascii="Verdana" w:hAnsi="Verdana"/>
          <w:sz w:val="20"/>
          <w:szCs w:val="20"/>
        </w:rPr>
      </w:pPr>
      <w:r>
        <w:rPr>
          <w:rFonts w:cs="Arial" w:ascii="Verdana" w:hAnsi="Verdana"/>
          <w:b w:val="false"/>
          <w:bCs w:val="false"/>
          <w:sz w:val="20"/>
          <w:szCs w:val="20"/>
          <w:shd w:fill="auto" w:val="clear"/>
        </w:rPr>
        <w:t>5.7. Substituir no todo ou em parte do objeto deste termo que for entregue fora das especificações e/ou que apresentem defeitos, devendo fazê-lo no prazo determinado pela Secretaria requisitante, sem ônus para o Município de São Gabriel da Palha ES.</w:t>
      </w:r>
    </w:p>
    <w:p>
      <w:pPr>
        <w:pStyle w:val="Normal"/>
        <w:spacing w:lineRule="auto" w:line="240" w:before="0" w:after="0"/>
        <w:jc w:val="both"/>
        <w:rPr>
          <w:rFonts w:ascii="Verdana" w:hAnsi="Verdana"/>
          <w:sz w:val="20"/>
          <w:szCs w:val="20"/>
        </w:rPr>
      </w:pPr>
      <w:r>
        <w:rPr>
          <w:rFonts w:cs="Arial" w:ascii="Verdana" w:hAnsi="Verdana"/>
          <w:b w:val="false"/>
          <w:bCs w:val="false"/>
          <w:sz w:val="20"/>
          <w:szCs w:val="20"/>
          <w:shd w:fill="auto" w:val="clear"/>
        </w:rPr>
        <w:t>5.8. Substituir o produto que quando do seu uso ficar constatado que o mesmo não possui qualidade;</w:t>
      </w:r>
    </w:p>
    <w:p>
      <w:pPr>
        <w:pStyle w:val="Normal"/>
        <w:spacing w:lineRule="auto" w:line="240" w:before="0" w:after="0"/>
        <w:jc w:val="both"/>
        <w:rPr>
          <w:rFonts w:ascii="Verdana" w:hAnsi="Verdana"/>
          <w:sz w:val="20"/>
          <w:szCs w:val="20"/>
        </w:rPr>
      </w:pPr>
      <w:r>
        <w:rPr>
          <w:rFonts w:cs="Arial" w:ascii="Verdana" w:hAnsi="Verdana"/>
          <w:b w:val="false"/>
          <w:bCs w:val="false"/>
          <w:sz w:val="20"/>
          <w:szCs w:val="20"/>
          <w:shd w:fill="auto" w:val="clear"/>
        </w:rPr>
        <w:t>5.9. Incluir nos preços cotados os insumos que o compõem a satisfação do futuro contrato, tais como as despesas com impostos, taxas, frete, embalagens, seguros e quaisquer outros que incidam direta ou indiretamente na aquisição e entrega dos equipamentos cotados, bem como transporte, custos, estocagem até a entrega total do objeto, carga e descarga, testes, embalagens, seguro, leis sociais e tributos;</w:t>
      </w:r>
    </w:p>
    <w:p>
      <w:pPr>
        <w:pStyle w:val="Normal"/>
        <w:spacing w:lineRule="auto" w:line="240" w:before="0" w:after="0"/>
        <w:jc w:val="both"/>
        <w:rPr>
          <w:rFonts w:ascii="Verdana" w:hAnsi="Verdana"/>
          <w:sz w:val="20"/>
          <w:szCs w:val="20"/>
        </w:rPr>
      </w:pPr>
      <w:r>
        <w:rPr>
          <w:rFonts w:cs="Arial" w:ascii="Verdana" w:hAnsi="Verdana"/>
          <w:b w:val="false"/>
          <w:bCs w:val="false"/>
          <w:sz w:val="20"/>
          <w:szCs w:val="20"/>
          <w:shd w:fill="auto" w:val="clear"/>
        </w:rPr>
        <w:t>5.10. Fornecer todos os produtos com garantia de acordo com as exigências do Código de Defesa do Consumidor.</w:t>
      </w:r>
    </w:p>
    <w:p>
      <w:pPr>
        <w:pStyle w:val="Normal"/>
        <w:spacing w:lineRule="auto" w:line="240" w:before="0" w:after="0"/>
        <w:jc w:val="both"/>
        <w:rPr>
          <w:rFonts w:ascii="Verdana" w:hAnsi="Verdana"/>
          <w:sz w:val="20"/>
          <w:szCs w:val="20"/>
        </w:rPr>
      </w:pPr>
      <w:r>
        <w:rPr>
          <w:rFonts w:cs="Arial" w:ascii="Verdana" w:hAnsi="Verdana"/>
          <w:b w:val="false"/>
          <w:bCs w:val="false"/>
          <w:sz w:val="20"/>
          <w:szCs w:val="20"/>
          <w:shd w:fill="auto" w:val="clear"/>
        </w:rPr>
        <w:t>5.11. Fornecer os materiais com qualidade, garantia e Registro na Anvisa.</w:t>
      </w:r>
    </w:p>
    <w:p>
      <w:pPr>
        <w:pStyle w:val="Normal"/>
        <w:spacing w:lineRule="auto" w:line="240" w:before="0" w:after="0"/>
        <w:jc w:val="both"/>
        <w:rPr>
          <w:rFonts w:ascii="Verdana" w:hAnsi="Verdana"/>
          <w:sz w:val="20"/>
          <w:szCs w:val="20"/>
        </w:rPr>
      </w:pPr>
      <w:r>
        <w:rPr>
          <w:rFonts w:cs="Arial" w:ascii="Verdana" w:hAnsi="Verdana"/>
          <w:b w:val="false"/>
          <w:bCs w:val="false"/>
          <w:sz w:val="20"/>
          <w:szCs w:val="20"/>
          <w:shd w:fill="auto" w:val="clear"/>
        </w:rPr>
        <w:t>5.12. Fornecer os materiais com qualidade inquestionável, devendo estar em conformidade com a descrição constante neste ETP, estando ainda sujeitos a amplo teste de qualidade, reservando-se a Contratante, o direito de rejeitá-lo no todo ou em parte, obrigando-se a empresa vencedora a promover suas substituições sem qualquer ônus adicional, sujeitando-se a aplicação das penalidade previstas;</w:t>
      </w:r>
    </w:p>
    <w:p>
      <w:pPr>
        <w:pStyle w:val="Normal"/>
        <w:spacing w:lineRule="auto" w:line="240" w:before="0" w:after="0"/>
        <w:jc w:val="both"/>
        <w:rPr>
          <w:rFonts w:ascii="Verdana" w:hAnsi="Verdana"/>
          <w:sz w:val="20"/>
          <w:szCs w:val="20"/>
        </w:rPr>
      </w:pPr>
      <w:r>
        <w:rPr>
          <w:rFonts w:cs="Arial" w:ascii="Verdana" w:hAnsi="Verdana"/>
          <w:b w:val="false"/>
          <w:bCs w:val="false"/>
          <w:sz w:val="20"/>
          <w:szCs w:val="20"/>
          <w:shd w:fill="auto" w:val="clear"/>
        </w:rPr>
        <w:t>5.13. Responsabilizar-se por seus produtos até a data que expirar a validade dos mesmos (garantia), valendo para resolução de qualquer dúvida, o Código de Defesa do Consumidor;</w:t>
      </w:r>
    </w:p>
    <w:p>
      <w:pPr>
        <w:pStyle w:val="Normal"/>
        <w:spacing w:lineRule="auto" w:line="240" w:before="0" w:after="0"/>
        <w:jc w:val="both"/>
        <w:rPr>
          <w:rFonts w:ascii="Verdana" w:hAnsi="Verdana"/>
          <w:sz w:val="20"/>
          <w:szCs w:val="20"/>
        </w:rPr>
      </w:pPr>
      <w:r>
        <w:rPr>
          <w:rFonts w:eastAsia="Calibri" w:cs="Arial" w:ascii="Verdana" w:hAnsi="Verdana"/>
          <w:b w:val="false"/>
          <w:bCs w:val="false"/>
          <w:sz w:val="20"/>
          <w:szCs w:val="20"/>
          <w:highlight w:val="white"/>
          <w:shd w:fill="auto" w:val="clear"/>
        </w:rPr>
        <w:t>5.14. Manter seus dados atualizados perante a Contratada, fazendo comunicar eventuais alterações de representantes, fiscais de contrato, endereços, contatos e demais informações necessárias à execução do contrato.</w:t>
      </w:r>
    </w:p>
    <w:p>
      <w:pPr>
        <w:pStyle w:val="ListParagraph"/>
        <w:spacing w:lineRule="auto" w:line="240"/>
        <w:ind w:left="-22" w:right="0" w:hanging="0"/>
        <w:jc w:val="both"/>
        <w:rPr>
          <w:rFonts w:ascii="Verdana" w:hAnsi="Verdana"/>
          <w:sz w:val="20"/>
          <w:szCs w:val="20"/>
        </w:rPr>
      </w:pPr>
      <w:r>
        <w:rPr>
          <w:rFonts w:cs="Arial" w:ascii="Verdana" w:hAnsi="Verdana"/>
          <w:b w:val="false"/>
          <w:bCs w:val="false"/>
          <w:i w:val="false"/>
          <w:iCs w:val="false"/>
          <w:color w:val="000000"/>
          <w:sz w:val="20"/>
          <w:szCs w:val="20"/>
        </w:rPr>
        <w:t xml:space="preserve">5.15. Não haverá exigência da garantia da </w:t>
      </w:r>
      <w:r>
        <w:rPr>
          <w:rFonts w:eastAsia="Times New Roman" w:cs="Arial" w:ascii="Verdana" w:hAnsi="Verdana"/>
          <w:b w:val="false"/>
          <w:bCs w:val="false"/>
          <w:i w:val="false"/>
          <w:iCs w:val="false"/>
          <w:color w:val="000000"/>
          <w:sz w:val="20"/>
          <w:szCs w:val="20"/>
        </w:rPr>
        <w:t>aquisição</w:t>
      </w:r>
      <w:r>
        <w:rPr>
          <w:rFonts w:cs="Arial" w:ascii="Verdana" w:hAnsi="Verdana"/>
          <w:b w:val="false"/>
          <w:bCs w:val="false"/>
          <w:i w:val="false"/>
          <w:iCs w:val="false"/>
          <w:color w:val="000000"/>
          <w:sz w:val="20"/>
          <w:szCs w:val="20"/>
        </w:rPr>
        <w:t xml:space="preserve"> dos arts. 96 e seguintes da Lei nº 14.133/21.</w:t>
      </w:r>
    </w:p>
    <w:p>
      <w:pPr>
        <w:pStyle w:val="ListParagraph"/>
        <w:spacing w:lineRule="auto" w:line="240"/>
        <w:ind w:left="-22" w:right="0" w:hanging="0"/>
        <w:jc w:val="both"/>
        <w:rPr>
          <w:rFonts w:ascii="Verdana" w:hAnsi="Verdana" w:cs="Arial"/>
          <w:b/>
          <w:sz w:val="20"/>
          <w:szCs w:val="20"/>
          <w:u w:val="single"/>
        </w:rPr>
      </w:pPr>
      <w:r>
        <w:rPr>
          <w:rFonts w:cs="Arial" w:ascii="Verdana" w:hAnsi="Verdana"/>
          <w:b/>
          <w:sz w:val="20"/>
          <w:szCs w:val="20"/>
          <w:u w:val="single"/>
        </w:rPr>
      </w:r>
    </w:p>
    <w:p>
      <w:pPr>
        <w:pStyle w:val="Nivel1"/>
        <w:suppressAutoHyphens w:val="true"/>
        <w:spacing w:lineRule="auto" w:line="240" w:before="0" w:after="0"/>
        <w:ind w:left="0" w:right="0" w:hanging="0"/>
        <w:rPr>
          <w:rFonts w:ascii="Verdana" w:hAnsi="Verdana"/>
          <w:sz w:val="20"/>
          <w:szCs w:val="20"/>
        </w:rPr>
      </w:pPr>
      <w:r>
        <w:rPr>
          <w:rFonts w:ascii="Verdana" w:hAnsi="Verdana"/>
          <w:i w:val="false"/>
          <w:iCs w:val="false"/>
          <w:sz w:val="20"/>
          <w:szCs w:val="20"/>
        </w:rPr>
        <w:t>6. ENTREGA E CRITÉRIOS DE ACEITAÇÃO DO OBJETO.</w:t>
      </w:r>
    </w:p>
    <w:p>
      <w:pPr>
        <w:pStyle w:val="Normal"/>
        <w:spacing w:lineRule="auto" w:line="240"/>
        <w:jc w:val="both"/>
        <w:rPr>
          <w:rFonts w:ascii="Verdana" w:hAnsi="Verdana"/>
          <w:sz w:val="20"/>
          <w:szCs w:val="20"/>
        </w:rPr>
      </w:pPr>
      <w:r>
        <w:rPr>
          <w:rFonts w:cs="Arial" w:ascii="Verdana" w:hAnsi="Verdana"/>
          <w:b w:val="false"/>
          <w:bCs w:val="false"/>
          <w:sz w:val="20"/>
          <w:szCs w:val="20"/>
          <w:lang w:val="pt-BR"/>
        </w:rPr>
        <w:t>6</w:t>
      </w:r>
      <w:r>
        <w:rPr>
          <w:rFonts w:cs="Arial" w:ascii="Verdana" w:hAnsi="Verdana"/>
          <w:b w:val="false"/>
          <w:bCs w:val="false"/>
          <w:sz w:val="20"/>
          <w:szCs w:val="20"/>
        </w:rPr>
        <w:t>.1</w:t>
      </w:r>
      <w:r>
        <w:rPr>
          <w:rFonts w:cs="Arial" w:ascii="Verdana" w:hAnsi="Verdana"/>
          <w:b/>
          <w:sz w:val="20"/>
          <w:szCs w:val="20"/>
        </w:rPr>
        <w:t>.</w:t>
      </w:r>
      <w:r>
        <w:rPr>
          <w:rFonts w:cs="Arial" w:ascii="Verdana" w:hAnsi="Verdana"/>
          <w:sz w:val="20"/>
          <w:szCs w:val="20"/>
        </w:rPr>
        <w:t xml:space="preserve"> Os materiais deverão ser entregues no Almoxarifado da Atenção Básica com localizaçã</w:t>
      </w:r>
      <w:r>
        <w:rPr>
          <w:rFonts w:cs="Arial" w:ascii="Verdana" w:hAnsi="Verdana"/>
          <w:sz w:val="20"/>
          <w:szCs w:val="20"/>
          <w:lang w:val="pt-BR"/>
        </w:rPr>
        <w:t>o na sede do Município</w:t>
      </w:r>
      <w:r>
        <w:rPr>
          <w:rFonts w:cs="Arial" w:ascii="Verdana" w:hAnsi="Verdana"/>
          <w:sz w:val="20"/>
          <w:szCs w:val="20"/>
        </w:rPr>
        <w:t>, de segunda à quinta feira das 07</w:t>
      </w:r>
      <w:r>
        <w:rPr>
          <w:rFonts w:cs="Arial" w:ascii="Verdana" w:hAnsi="Verdana"/>
          <w:sz w:val="20"/>
          <w:szCs w:val="20"/>
          <w:lang w:val="pt-BR"/>
        </w:rPr>
        <w:t>h</w:t>
      </w:r>
      <w:r>
        <w:rPr>
          <w:rFonts w:cs="Arial" w:ascii="Verdana" w:hAnsi="Verdana"/>
          <w:sz w:val="20"/>
          <w:szCs w:val="20"/>
        </w:rPr>
        <w:t xml:space="preserve"> às 16h, e na sexta feira de 7:00hs da manha até as 13 horas da tarde,  observando os dias de funcionament</w:t>
      </w:r>
      <w:r>
        <w:rPr>
          <w:rFonts w:cs="Arial" w:ascii="Verdana" w:hAnsi="Verdana"/>
          <w:sz w:val="20"/>
          <w:szCs w:val="20"/>
          <w:lang w:val="pt-BR"/>
        </w:rPr>
        <w:t xml:space="preserve">o, </w:t>
      </w:r>
      <w:r>
        <w:rPr>
          <w:rFonts w:cs="Arial" w:ascii="Verdana" w:hAnsi="Verdana"/>
          <w:sz w:val="20"/>
          <w:szCs w:val="20"/>
        </w:rPr>
        <w:t xml:space="preserve">juntamente com a Nota Fiscal, pelo prazo de 20 (vinte) </w:t>
      </w:r>
      <w:r>
        <w:rPr>
          <w:rFonts w:cs="Arial" w:ascii="Verdana" w:hAnsi="Verdana"/>
          <w:b/>
          <w:bCs/>
          <w:sz w:val="20"/>
          <w:szCs w:val="20"/>
        </w:rPr>
        <w:t xml:space="preserve"> dias </w:t>
      </w:r>
      <w:r>
        <w:rPr>
          <w:rFonts w:cs="Arial" w:ascii="Verdana" w:hAnsi="Verdana"/>
          <w:sz w:val="20"/>
          <w:szCs w:val="20"/>
        </w:rPr>
        <w:t xml:space="preserve">a contar do recebimento da Autorização de Fornecimento, emitida pelo Departamento </w:t>
      </w:r>
      <w:r>
        <w:rPr>
          <w:rFonts w:cs="Arial" w:ascii="Verdana" w:hAnsi="Verdana"/>
          <w:sz w:val="20"/>
          <w:szCs w:val="20"/>
          <w:lang w:val="pt-BR"/>
        </w:rPr>
        <w:t>de Compras da Secretaria Municipal de Saúde.</w:t>
      </w:r>
    </w:p>
    <w:p>
      <w:pPr>
        <w:pStyle w:val="Normal"/>
        <w:spacing w:lineRule="auto" w:line="240"/>
        <w:jc w:val="both"/>
        <w:rPr>
          <w:rFonts w:ascii="Verdana" w:hAnsi="Verdana"/>
          <w:sz w:val="20"/>
          <w:szCs w:val="20"/>
        </w:rPr>
      </w:pPr>
      <w:r>
        <w:rPr>
          <w:rFonts w:cs="Arial" w:ascii="Verdana" w:hAnsi="Verdana"/>
          <w:b w:val="false"/>
          <w:bCs w:val="false"/>
          <w:sz w:val="20"/>
          <w:szCs w:val="20"/>
          <w:lang w:val="pt-BR"/>
        </w:rPr>
        <w:t>6</w:t>
      </w:r>
      <w:r>
        <w:rPr>
          <w:rFonts w:cs="Arial" w:ascii="Verdana" w:hAnsi="Verdana"/>
          <w:b w:val="false"/>
          <w:bCs w:val="false"/>
          <w:sz w:val="20"/>
          <w:szCs w:val="20"/>
        </w:rPr>
        <w:t>.2. A entrega deverá ocorrer sem qualquer ônus adicional, bem como a descarga e todas as demais despesas provenientes da mesma, previamente agendada com a Secretaria Municipal de Saúde.</w:t>
      </w:r>
    </w:p>
    <w:p>
      <w:pPr>
        <w:pStyle w:val="Normal"/>
        <w:spacing w:lineRule="auto" w:line="240"/>
        <w:jc w:val="both"/>
        <w:rPr>
          <w:rFonts w:ascii="Verdana" w:hAnsi="Verdana"/>
          <w:sz w:val="20"/>
          <w:szCs w:val="20"/>
        </w:rPr>
      </w:pPr>
      <w:r>
        <w:rPr>
          <w:rFonts w:cs="Arial" w:ascii="Verdana" w:hAnsi="Verdana"/>
          <w:b w:val="false"/>
          <w:bCs w:val="false"/>
          <w:sz w:val="20"/>
          <w:szCs w:val="20"/>
          <w:lang w:val="pt-BR"/>
        </w:rPr>
        <w:t>6</w:t>
      </w:r>
      <w:r>
        <w:rPr>
          <w:rFonts w:cs="Arial" w:ascii="Verdana" w:hAnsi="Verdana"/>
          <w:b w:val="false"/>
          <w:bCs w:val="false"/>
          <w:sz w:val="20"/>
          <w:szCs w:val="20"/>
        </w:rPr>
        <w:t xml:space="preserve">.3. A CONTRATADA garantirá a qualidade do produto obrigando-se a repor aquele que apresentar defeito ou for entregue em desacordo com o apresentado na proposta; </w:t>
      </w:r>
    </w:p>
    <w:p>
      <w:pPr>
        <w:pStyle w:val="Normal"/>
        <w:spacing w:lineRule="auto" w:line="240"/>
        <w:jc w:val="both"/>
        <w:rPr>
          <w:rFonts w:ascii="Verdana" w:hAnsi="Verdana"/>
          <w:sz w:val="20"/>
          <w:szCs w:val="20"/>
        </w:rPr>
      </w:pPr>
      <w:r>
        <w:rPr>
          <w:rFonts w:cs="Arial" w:ascii="Verdana" w:hAnsi="Verdana"/>
          <w:b w:val="false"/>
          <w:bCs w:val="false"/>
          <w:sz w:val="20"/>
          <w:szCs w:val="20"/>
          <w:lang w:val="pt-BR"/>
        </w:rPr>
        <w:t>6</w:t>
      </w:r>
      <w:r>
        <w:rPr>
          <w:rFonts w:cs="Arial" w:ascii="Verdana" w:hAnsi="Verdana"/>
          <w:b w:val="false"/>
          <w:bCs w:val="false"/>
          <w:sz w:val="20"/>
          <w:szCs w:val="20"/>
        </w:rPr>
        <w:t>.</w:t>
      </w:r>
      <w:r>
        <w:rPr>
          <w:rFonts w:cs="Arial" w:ascii="Verdana" w:hAnsi="Verdana"/>
          <w:b w:val="false"/>
          <w:bCs w:val="false"/>
          <w:sz w:val="20"/>
          <w:szCs w:val="20"/>
          <w:lang w:val="pt-BR"/>
        </w:rPr>
        <w:t>4.</w:t>
      </w:r>
      <w:r>
        <w:rPr>
          <w:rFonts w:cs="Arial" w:ascii="Verdana" w:hAnsi="Verdana"/>
          <w:b w:val="false"/>
          <w:bCs w:val="false"/>
          <w:sz w:val="20"/>
          <w:szCs w:val="20"/>
        </w:rPr>
        <w:t xml:space="preserve"> O recebimento provisório do material entregue dar-se-á pela conferência com a descrição constante da ordem de fornecimento;</w:t>
      </w:r>
    </w:p>
    <w:p>
      <w:pPr>
        <w:pStyle w:val="Normal"/>
        <w:spacing w:lineRule="auto" w:line="240"/>
        <w:jc w:val="both"/>
        <w:rPr>
          <w:rFonts w:ascii="Verdana" w:hAnsi="Verdana"/>
          <w:sz w:val="20"/>
          <w:szCs w:val="20"/>
        </w:rPr>
      </w:pPr>
      <w:r>
        <w:rPr>
          <w:rFonts w:cs="Arial" w:ascii="Verdana" w:hAnsi="Verdana"/>
          <w:b w:val="false"/>
          <w:bCs w:val="false"/>
          <w:sz w:val="20"/>
          <w:szCs w:val="20"/>
          <w:lang w:val="pt-BR"/>
        </w:rPr>
        <w:t>6</w:t>
      </w:r>
      <w:r>
        <w:rPr>
          <w:rFonts w:cs="Arial" w:ascii="Verdana" w:hAnsi="Verdana"/>
          <w:b w:val="false"/>
          <w:bCs w:val="false"/>
          <w:sz w:val="20"/>
          <w:szCs w:val="20"/>
        </w:rPr>
        <w:t>.</w:t>
      </w:r>
      <w:r>
        <w:rPr>
          <w:rFonts w:cs="Arial" w:ascii="Verdana" w:hAnsi="Verdana"/>
          <w:b w:val="false"/>
          <w:bCs w:val="false"/>
          <w:sz w:val="20"/>
          <w:szCs w:val="20"/>
          <w:lang w:val="pt-BR"/>
        </w:rPr>
        <w:t>5.</w:t>
      </w:r>
      <w:r>
        <w:rPr>
          <w:rFonts w:cs="Arial" w:ascii="Verdana" w:hAnsi="Verdana"/>
          <w:b w:val="false"/>
          <w:bCs w:val="false"/>
          <w:sz w:val="20"/>
          <w:szCs w:val="20"/>
        </w:rPr>
        <w:t xml:space="preserve"> O recebimento definitivo ocorrerá com a verificação integral das características do produto fornecido pela CONTRATADA;</w:t>
      </w:r>
    </w:p>
    <w:p>
      <w:pPr>
        <w:pStyle w:val="Normal"/>
        <w:spacing w:lineRule="auto" w:line="240"/>
        <w:jc w:val="both"/>
        <w:rPr>
          <w:rFonts w:ascii="Verdana" w:hAnsi="Verdana"/>
          <w:sz w:val="20"/>
          <w:szCs w:val="20"/>
        </w:rPr>
      </w:pPr>
      <w:r>
        <w:rPr>
          <w:rFonts w:cs="Arial" w:ascii="Verdana" w:hAnsi="Verdana"/>
          <w:b w:val="false"/>
          <w:bCs w:val="false"/>
          <w:sz w:val="20"/>
          <w:szCs w:val="20"/>
          <w:lang w:val="pt-BR"/>
        </w:rPr>
        <w:t>6</w:t>
      </w:r>
      <w:r>
        <w:rPr>
          <w:rFonts w:cs="Arial" w:ascii="Verdana" w:hAnsi="Verdana"/>
          <w:b w:val="false"/>
          <w:bCs w:val="false"/>
          <w:sz w:val="20"/>
          <w:szCs w:val="20"/>
        </w:rPr>
        <w:t>.</w:t>
      </w:r>
      <w:r>
        <w:rPr>
          <w:rFonts w:cs="Arial" w:ascii="Verdana" w:hAnsi="Verdana"/>
          <w:b w:val="false"/>
          <w:bCs w:val="false"/>
          <w:sz w:val="20"/>
          <w:szCs w:val="20"/>
          <w:lang w:val="pt-BR"/>
        </w:rPr>
        <w:t>6.</w:t>
      </w:r>
      <w:r>
        <w:rPr>
          <w:rFonts w:cs="Arial" w:ascii="Verdana" w:hAnsi="Verdana"/>
          <w:b w:val="false"/>
          <w:bCs w:val="false"/>
          <w:sz w:val="20"/>
          <w:szCs w:val="20"/>
        </w:rPr>
        <w:t xml:space="preserve"> O recebimento definitivo não isenta a CONTRATADA de responsabilidades futuras quanto à qualidade dos fornecimentos e serviços prestados.</w:t>
      </w:r>
    </w:p>
    <w:p>
      <w:pPr>
        <w:pStyle w:val="Normal"/>
        <w:spacing w:lineRule="auto" w:line="240"/>
        <w:jc w:val="both"/>
        <w:rPr>
          <w:rFonts w:ascii="Verdana" w:hAnsi="Verdana"/>
          <w:sz w:val="20"/>
          <w:szCs w:val="20"/>
        </w:rPr>
      </w:pPr>
      <w:r>
        <w:rPr>
          <w:rFonts w:cs="Arial" w:ascii="Verdana" w:hAnsi="Verdana"/>
          <w:b w:val="false"/>
          <w:bCs w:val="false"/>
          <w:sz w:val="20"/>
          <w:szCs w:val="20"/>
          <w:lang w:val="pt-BR"/>
        </w:rPr>
        <w:t>6</w:t>
      </w:r>
      <w:r>
        <w:rPr>
          <w:rFonts w:cs="Arial" w:ascii="Verdana" w:hAnsi="Verdana"/>
          <w:b w:val="false"/>
          <w:bCs w:val="false"/>
          <w:sz w:val="20"/>
          <w:szCs w:val="20"/>
        </w:rPr>
        <w:t>.</w:t>
      </w:r>
      <w:r>
        <w:rPr>
          <w:rFonts w:cs="Arial" w:ascii="Verdana" w:hAnsi="Verdana"/>
          <w:b w:val="false"/>
          <w:bCs w:val="false"/>
          <w:sz w:val="20"/>
          <w:szCs w:val="20"/>
          <w:lang w:val="pt-BR"/>
        </w:rPr>
        <w:t>7.</w:t>
      </w:r>
      <w:r>
        <w:rPr>
          <w:rFonts w:cs="Arial" w:ascii="Verdana" w:hAnsi="Verdana"/>
          <w:b w:val="false"/>
          <w:bCs w:val="false"/>
          <w:sz w:val="20"/>
          <w:szCs w:val="20"/>
        </w:rPr>
        <w:t xml:space="preserve"> O recebimento provisório do material não implica aceitação dos mesmos;</w:t>
      </w:r>
    </w:p>
    <w:p>
      <w:pPr>
        <w:pStyle w:val="Normal"/>
        <w:spacing w:lineRule="auto" w:line="240"/>
        <w:ind w:left="0" w:right="0" w:hanging="0"/>
        <w:jc w:val="both"/>
        <w:rPr>
          <w:rFonts w:ascii="Verdana" w:hAnsi="Verdana"/>
          <w:sz w:val="20"/>
          <w:szCs w:val="20"/>
        </w:rPr>
      </w:pPr>
      <w:r>
        <w:rPr>
          <w:rFonts w:cs="Arial" w:ascii="Verdana" w:hAnsi="Verdana"/>
          <w:b w:val="false"/>
          <w:bCs w:val="false"/>
          <w:i w:val="false"/>
          <w:iCs w:val="false"/>
          <w:color w:val="000000"/>
          <w:sz w:val="20"/>
          <w:szCs w:val="20"/>
          <w:lang w:val="pt-BR"/>
        </w:rPr>
        <w:t>6</w:t>
      </w:r>
      <w:r>
        <w:rPr>
          <w:rFonts w:cs="Arial" w:ascii="Verdana" w:hAnsi="Verdana"/>
          <w:b w:val="false"/>
          <w:bCs w:val="false"/>
          <w:i w:val="false"/>
          <w:iCs w:val="false"/>
          <w:color w:val="000000"/>
          <w:sz w:val="20"/>
          <w:szCs w:val="20"/>
        </w:rPr>
        <w:t>.</w:t>
      </w:r>
      <w:r>
        <w:rPr>
          <w:rFonts w:cs="Arial" w:ascii="Verdana" w:hAnsi="Verdana"/>
          <w:b w:val="false"/>
          <w:bCs w:val="false"/>
          <w:i w:val="false"/>
          <w:iCs w:val="false"/>
          <w:color w:val="000000"/>
          <w:sz w:val="20"/>
          <w:szCs w:val="20"/>
          <w:lang w:val="pt-BR"/>
        </w:rPr>
        <w:t>8</w:t>
      </w:r>
      <w:r>
        <w:rPr>
          <w:rFonts w:cs="Arial" w:ascii="Verdana" w:hAnsi="Verdana"/>
          <w:b/>
          <w:bCs w:val="false"/>
          <w:i w:val="false"/>
          <w:iCs w:val="false"/>
          <w:color w:val="000000"/>
          <w:sz w:val="20"/>
          <w:szCs w:val="20"/>
          <w:lang w:val="pt-BR"/>
        </w:rPr>
        <w:t xml:space="preserve">. </w:t>
      </w:r>
      <w:r>
        <w:rPr>
          <w:rFonts w:cs="Arial" w:ascii="Verdana" w:hAnsi="Verdana"/>
          <w:b w:val="false"/>
          <w:bCs w:val="false"/>
          <w:i w:val="false"/>
          <w:iCs w:val="false"/>
          <w:color w:val="000000"/>
          <w:sz w:val="20"/>
          <w:szCs w:val="20"/>
        </w:rPr>
        <w:t xml:space="preserve"> Havendo erro na Nota Fiscal ou outra circunstância impeditiva, o recebimento definitivo será suspenso, até que a empresa tome as medidas saneadoras necessárias;</w:t>
      </w:r>
    </w:p>
    <w:p>
      <w:pPr>
        <w:pStyle w:val="Normal"/>
        <w:spacing w:lineRule="auto" w:line="240"/>
        <w:ind w:left="0" w:right="0" w:hanging="0"/>
        <w:jc w:val="both"/>
        <w:rPr>
          <w:rFonts w:ascii="Verdana" w:hAnsi="Verdana"/>
          <w:sz w:val="20"/>
          <w:szCs w:val="20"/>
        </w:rPr>
      </w:pPr>
      <w:r>
        <w:rPr>
          <w:rFonts w:cs="Arial" w:ascii="Verdana" w:hAnsi="Verdana"/>
          <w:b w:val="false"/>
          <w:bCs w:val="false"/>
          <w:i w:val="false"/>
          <w:iCs w:val="false"/>
          <w:color w:val="000000"/>
          <w:sz w:val="20"/>
          <w:szCs w:val="20"/>
        </w:rPr>
        <w:t>6.9.</w:t>
      </w:r>
      <w:r>
        <w:rPr>
          <w:rFonts w:cs="Arial" w:ascii="Verdana" w:hAnsi="Verdana"/>
          <w:b w:val="false"/>
          <w:bCs w:val="false"/>
          <w:i w:val="false"/>
          <w:iCs w:val="false"/>
          <w:color w:val="000000"/>
          <w:sz w:val="20"/>
          <w:szCs w:val="20"/>
          <w:shd w:fill="auto" w:val="clear"/>
        </w:rPr>
        <w:t xml:space="preserve"> Todo material solicitado deve vir devidamente identificados contendo: Garantia do produto, nome empresa Fabricante do produto, Registro na ANVISA/MS e nome do responsável técnico pela esterilização do produto.</w:t>
      </w:r>
    </w:p>
    <w:p>
      <w:pPr>
        <w:pStyle w:val="Normal"/>
        <w:spacing w:lineRule="auto" w:line="240"/>
        <w:jc w:val="both"/>
        <w:rPr>
          <w:rFonts w:ascii="Verdana" w:hAnsi="Verdana"/>
          <w:sz w:val="20"/>
          <w:szCs w:val="20"/>
        </w:rPr>
      </w:pPr>
      <w:r>
        <w:rPr>
          <w:rFonts w:cs="Arial" w:ascii="Verdana" w:hAnsi="Verdana"/>
          <w:b/>
          <w:sz w:val="20"/>
          <w:szCs w:val="20"/>
          <w:lang w:val="pt-BR"/>
        </w:rPr>
        <w:t>-</w:t>
      </w:r>
      <w:r>
        <w:rPr>
          <w:rFonts w:cs="Arial" w:ascii="Verdana" w:hAnsi="Verdana"/>
          <w:b/>
          <w:sz w:val="20"/>
          <w:szCs w:val="20"/>
        </w:rPr>
        <w:t xml:space="preserve"> CONTATO</w:t>
      </w:r>
    </w:p>
    <w:p>
      <w:pPr>
        <w:pStyle w:val="Normal"/>
        <w:spacing w:lineRule="auto" w:line="240"/>
        <w:jc w:val="both"/>
        <w:rPr>
          <w:rFonts w:ascii="Verdana" w:hAnsi="Verdana"/>
          <w:sz w:val="20"/>
          <w:szCs w:val="20"/>
        </w:rPr>
      </w:pPr>
      <w:r>
        <w:rPr>
          <w:rFonts w:cs="Arial" w:ascii="Verdana" w:hAnsi="Verdana"/>
          <w:b/>
          <w:sz w:val="20"/>
          <w:szCs w:val="20"/>
        </w:rPr>
        <w:t xml:space="preserve">Tel: </w:t>
      </w:r>
      <w:r>
        <w:rPr>
          <w:rFonts w:cs="Arial" w:ascii="Verdana" w:hAnsi="Verdana"/>
          <w:sz w:val="20"/>
          <w:szCs w:val="20"/>
        </w:rPr>
        <w:t>27 9 9740 8895</w:t>
      </w:r>
    </w:p>
    <w:p>
      <w:pPr>
        <w:pStyle w:val="Normal"/>
        <w:spacing w:lineRule="auto" w:line="240"/>
        <w:jc w:val="both"/>
        <w:rPr>
          <w:rFonts w:ascii="Verdana" w:hAnsi="Verdana"/>
          <w:sz w:val="20"/>
          <w:szCs w:val="20"/>
        </w:rPr>
      </w:pPr>
      <w:r>
        <w:rPr>
          <w:rFonts w:cs="Arial" w:ascii="Verdana" w:hAnsi="Verdana"/>
          <w:b/>
          <w:sz w:val="20"/>
          <w:szCs w:val="20"/>
        </w:rPr>
        <w:t xml:space="preserve">Email: </w:t>
      </w:r>
      <w:r>
        <w:rPr>
          <w:rFonts w:cs="Arial" w:ascii="Verdana" w:hAnsi="Verdana"/>
          <w:b w:val="false"/>
          <w:bCs w:val="false"/>
          <w:sz w:val="20"/>
          <w:szCs w:val="20"/>
          <w:lang w:val="pt-BR"/>
        </w:rPr>
        <w:t>setorcomprassgp</w:t>
      </w:r>
      <w:r>
        <w:rPr>
          <w:rFonts w:cs="Arial" w:ascii="Verdana" w:hAnsi="Verdana"/>
          <w:sz w:val="20"/>
          <w:szCs w:val="20"/>
        </w:rPr>
        <w:t>@gmail.com</w:t>
      </w:r>
    </w:p>
    <w:p>
      <w:pPr>
        <w:pStyle w:val="Normal"/>
        <w:spacing w:lineRule="auto" w:line="240"/>
        <w:ind w:left="0" w:right="0" w:hanging="0"/>
        <w:jc w:val="both"/>
        <w:rPr>
          <w:rFonts w:ascii="Verdana" w:hAnsi="Verdana"/>
          <w:sz w:val="20"/>
          <w:szCs w:val="20"/>
        </w:rPr>
      </w:pPr>
      <w:r>
        <w:rPr>
          <w:rFonts w:cs="Arial" w:ascii="Verdana" w:hAnsi="Verdana"/>
          <w:b/>
          <w:bCs w:val="false"/>
          <w:i w:val="false"/>
          <w:iCs w:val="false"/>
          <w:color w:val="000000"/>
          <w:sz w:val="20"/>
          <w:szCs w:val="20"/>
        </w:rPr>
        <w:t xml:space="preserve">Responsável: </w:t>
      </w:r>
      <w:r>
        <w:rPr>
          <w:rFonts w:cs="Arial" w:ascii="Verdana" w:hAnsi="Verdana"/>
          <w:b w:val="false"/>
          <w:bCs w:val="false"/>
          <w:i w:val="false"/>
          <w:iCs w:val="false"/>
          <w:color w:val="000000"/>
          <w:sz w:val="20"/>
          <w:szCs w:val="20"/>
        </w:rPr>
        <w:t>Secretaria Municipal de Saúde</w:t>
      </w:r>
    </w:p>
    <w:p>
      <w:pPr>
        <w:pStyle w:val="Normal"/>
        <w:spacing w:lineRule="auto" w:line="240"/>
        <w:ind w:left="0" w:right="0" w:hanging="0"/>
        <w:jc w:val="both"/>
        <w:rPr>
          <w:rFonts w:ascii="Verdana" w:hAnsi="Verdana" w:cs="Arial"/>
          <w:b/>
          <w:sz w:val="20"/>
          <w:szCs w:val="20"/>
          <w:u w:val="single"/>
        </w:rPr>
      </w:pPr>
      <w:r>
        <w:rPr>
          <w:rFonts w:cs="Arial" w:ascii="Verdana" w:hAnsi="Verdana"/>
          <w:b/>
          <w:sz w:val="20"/>
          <w:szCs w:val="20"/>
          <w:u w:val="single"/>
        </w:rPr>
      </w:r>
    </w:p>
    <w:p>
      <w:pPr>
        <w:pStyle w:val="Normal"/>
        <w:spacing w:lineRule="auto" w:line="240"/>
        <w:ind w:left="0" w:right="0" w:hanging="0"/>
        <w:jc w:val="both"/>
        <w:rPr>
          <w:rFonts w:ascii="Verdana" w:hAnsi="Verdana"/>
          <w:sz w:val="20"/>
          <w:szCs w:val="20"/>
        </w:rPr>
      </w:pPr>
      <w:r>
        <w:rPr>
          <w:rFonts w:cs="Arial" w:ascii="Verdana" w:hAnsi="Verdana"/>
          <w:b/>
          <w:bCs/>
          <w:i w:val="false"/>
          <w:iCs w:val="false"/>
          <w:color w:val="000000"/>
          <w:sz w:val="20"/>
          <w:szCs w:val="20"/>
        </w:rPr>
        <w:t>7. OBRIGAÇÕES DA CONTRATANTE</w:t>
      </w:r>
    </w:p>
    <w:p>
      <w:pPr>
        <w:pStyle w:val="Normal"/>
        <w:spacing w:lineRule="auto" w:line="240"/>
        <w:ind w:left="0" w:right="0" w:hanging="0"/>
        <w:jc w:val="both"/>
        <w:rPr>
          <w:rFonts w:ascii="Verdana" w:hAnsi="Verdana"/>
          <w:sz w:val="20"/>
          <w:szCs w:val="20"/>
        </w:rPr>
      </w:pPr>
      <w:r>
        <w:rPr>
          <w:rFonts w:eastAsia="Times New Roman" w:cs="Arial" w:ascii="Verdana" w:hAnsi="Verdana"/>
          <w:b w:val="false"/>
          <w:bCs w:val="false"/>
          <w:i w:val="false"/>
          <w:iCs w:val="false"/>
          <w:color w:val="000000"/>
          <w:sz w:val="20"/>
          <w:szCs w:val="20"/>
        </w:rPr>
        <w:t>7.1.</w:t>
      </w:r>
      <w:r>
        <w:rPr>
          <w:rFonts w:cs="Arial" w:ascii="Verdana" w:hAnsi="Verdana"/>
          <w:b w:val="false"/>
          <w:bCs w:val="false"/>
          <w:i w:val="false"/>
          <w:iCs w:val="false"/>
          <w:color w:val="000000"/>
          <w:sz w:val="20"/>
          <w:szCs w:val="20"/>
        </w:rPr>
        <w:t xml:space="preserve"> Receber os materiais no prazo e condições estabelecidas neste Termo de Referência e seus anexos.</w:t>
      </w:r>
    </w:p>
    <w:p>
      <w:pPr>
        <w:pStyle w:val="Normal"/>
        <w:spacing w:lineRule="auto" w:line="240" w:before="57" w:after="57"/>
        <w:ind w:left="0" w:right="0" w:hanging="0"/>
        <w:jc w:val="both"/>
        <w:rPr>
          <w:rFonts w:ascii="Verdana" w:hAnsi="Verdana"/>
          <w:sz w:val="20"/>
          <w:szCs w:val="20"/>
        </w:rPr>
      </w:pPr>
      <w:r>
        <w:rPr>
          <w:rFonts w:cs="Arial" w:ascii="Verdana" w:hAnsi="Verdana"/>
          <w:b w:val="false"/>
          <w:bCs w:val="false"/>
          <w:i w:val="false"/>
          <w:iCs w:val="false"/>
          <w:color w:val="000000"/>
          <w:sz w:val="20"/>
          <w:szCs w:val="20"/>
        </w:rPr>
        <w:t xml:space="preserve">7.2. </w:t>
      </w:r>
      <w:bookmarkStart w:id="4" w:name="page68R_mcid7"/>
      <w:r>
        <w:rPr>
          <w:rFonts w:cs="Arial" w:ascii="Verdana" w:hAnsi="Verdana"/>
          <w:b w:val="false"/>
          <w:bCs w:val="false"/>
          <w:i w:val="false"/>
          <w:iCs w:val="false"/>
          <w:color w:val="000000"/>
          <w:sz w:val="20"/>
          <w:szCs w:val="20"/>
        </w:rPr>
        <w:t>Verificar minuciosamente, no prazo fixado, a conformidade dos bens recebidos provisoriamente com as especificações constantes neste Termo de Referência e da proposta, para fins de aceitação e recebimento definitivo.</w:t>
      </w:r>
    </w:p>
    <w:p>
      <w:pPr>
        <w:pStyle w:val="Normal"/>
        <w:spacing w:lineRule="auto" w:line="240" w:before="57" w:after="57"/>
        <w:ind w:left="0" w:right="0" w:hanging="0"/>
        <w:jc w:val="both"/>
        <w:rPr>
          <w:rFonts w:ascii="Verdana" w:hAnsi="Verdana"/>
          <w:sz w:val="20"/>
          <w:szCs w:val="20"/>
        </w:rPr>
      </w:pPr>
      <w:r>
        <w:rPr>
          <w:rFonts w:cs="Arial" w:ascii="Verdana" w:hAnsi="Verdana"/>
          <w:b w:val="false"/>
          <w:bCs w:val="false"/>
          <w:i w:val="false"/>
          <w:iCs w:val="false"/>
          <w:color w:val="000000"/>
          <w:sz w:val="20"/>
          <w:szCs w:val="20"/>
        </w:rPr>
        <w:t>7.3. Comunicar à Contratada, por escrito, sobre imperfeições, falhas ou irregularidades verificadas no objeto fornecido, para que seja substituído, reparado ou corrigido.</w:t>
      </w:r>
    </w:p>
    <w:p>
      <w:pPr>
        <w:pStyle w:val="Normal"/>
        <w:spacing w:lineRule="auto" w:line="240" w:before="57" w:after="57"/>
        <w:ind w:left="0" w:right="0" w:hanging="0"/>
        <w:jc w:val="both"/>
        <w:rPr>
          <w:rFonts w:ascii="Verdana" w:hAnsi="Verdana"/>
          <w:sz w:val="20"/>
          <w:szCs w:val="20"/>
        </w:rPr>
      </w:pPr>
      <w:r>
        <w:rPr>
          <w:rFonts w:cs="Arial" w:ascii="Verdana" w:hAnsi="Verdana"/>
          <w:b w:val="false"/>
          <w:bCs w:val="false"/>
          <w:i w:val="false"/>
          <w:iCs w:val="false"/>
          <w:color w:val="000000"/>
          <w:sz w:val="20"/>
          <w:szCs w:val="20"/>
        </w:rPr>
        <w:t xml:space="preserve">7.4. Acompanhar e fiscalizar o cumprimento das obrigações da Contratada, através </w:t>
      </w:r>
      <w:r>
        <w:rPr>
          <w:rFonts w:cs="Arial" w:ascii="Verdana" w:hAnsi="Verdana"/>
          <w:b w:val="false"/>
          <w:bCs w:val="false"/>
          <w:i w:val="false"/>
          <w:iCs w:val="false"/>
          <w:color w:val="000000"/>
          <w:sz w:val="20"/>
          <w:szCs w:val="20"/>
          <w:u w:val="none"/>
        </w:rPr>
        <w:t>do setor responsável.</w:t>
      </w:r>
    </w:p>
    <w:p>
      <w:pPr>
        <w:pStyle w:val="Normal"/>
        <w:spacing w:lineRule="auto" w:line="240" w:before="57" w:after="57"/>
        <w:ind w:left="0" w:right="0" w:hanging="0"/>
        <w:jc w:val="both"/>
        <w:rPr>
          <w:rFonts w:ascii="Verdana" w:hAnsi="Verdana"/>
          <w:sz w:val="20"/>
          <w:szCs w:val="20"/>
        </w:rPr>
      </w:pPr>
      <w:r>
        <w:rPr>
          <w:rFonts w:cs="Arial" w:ascii="Verdana" w:hAnsi="Verdana"/>
          <w:b w:val="false"/>
          <w:bCs w:val="false"/>
          <w:i w:val="false"/>
          <w:iCs w:val="false"/>
          <w:color w:val="000000"/>
          <w:sz w:val="20"/>
          <w:szCs w:val="20"/>
        </w:rPr>
        <w:t>7.5. Efetuar o pagamento à Contratada no valor correspondente ao fornecimento dos tubos no prazo e forma estabelecidos neste TR e seus anexos.</w:t>
      </w:r>
    </w:p>
    <w:p>
      <w:pPr>
        <w:pStyle w:val="Normal"/>
        <w:spacing w:lineRule="auto" w:line="240" w:before="57" w:after="57"/>
        <w:ind w:left="0" w:right="0" w:hanging="0"/>
        <w:jc w:val="both"/>
        <w:rPr>
          <w:rFonts w:ascii="Verdana" w:hAnsi="Verdana"/>
          <w:sz w:val="20"/>
          <w:szCs w:val="20"/>
        </w:rPr>
      </w:pPr>
      <w:r>
        <w:rPr>
          <w:rFonts w:eastAsia="Times New Roman" w:cs="Arial" w:ascii="Verdana" w:hAnsi="Verdana"/>
          <w:b w:val="false"/>
          <w:bCs w:val="false"/>
          <w:i w:val="false"/>
          <w:iCs w:val="false"/>
          <w:color w:val="000000"/>
          <w:sz w:val="20"/>
          <w:szCs w:val="20"/>
        </w:rPr>
        <w:t xml:space="preserve">7.6. </w:t>
      </w:r>
      <w:r>
        <w:rPr>
          <w:rFonts w:cs="Arial" w:ascii="Verdana" w:hAnsi="Verdana"/>
          <w:b w:val="false"/>
          <w:bCs w:val="false"/>
          <w:i w:val="false"/>
          <w:iCs w:val="false"/>
          <w:color w:val="000000"/>
          <w:sz w:val="20"/>
          <w:szCs w:val="20"/>
        </w:rPr>
        <w:t xml:space="preserve">A Administração não responderá por quaisquer compromissos assumidos pela Contratada com terceiros, ainda que vinculados à execução da presente </w:t>
      </w:r>
      <w:r>
        <w:rPr>
          <w:rFonts w:eastAsia="Times New Roman" w:cs="Arial" w:ascii="Verdana" w:hAnsi="Verdana"/>
          <w:b w:val="false"/>
          <w:bCs w:val="false"/>
          <w:i w:val="false"/>
          <w:iCs w:val="false"/>
          <w:color w:val="000000"/>
          <w:sz w:val="20"/>
          <w:szCs w:val="20"/>
        </w:rPr>
        <w:t>Ata de Registro de Preços</w:t>
      </w:r>
      <w:r>
        <w:rPr>
          <w:rFonts w:cs="Arial" w:ascii="Verdana" w:hAnsi="Verdana"/>
          <w:b w:val="false"/>
          <w:bCs w:val="false"/>
          <w:i w:val="false"/>
          <w:iCs w:val="false"/>
          <w:color w:val="000000"/>
          <w:sz w:val="20"/>
          <w:szCs w:val="20"/>
        </w:rPr>
        <w:t>, bem como por qualquer dano causado a terceiros em decorrência de ato da Contratada, de seus empregados, prepostos ou subordinados.</w:t>
      </w:r>
    </w:p>
    <w:p>
      <w:pPr>
        <w:pStyle w:val="Normal"/>
        <w:spacing w:lineRule="auto" w:line="240"/>
        <w:ind w:left="0" w:right="0" w:hanging="0"/>
        <w:jc w:val="both"/>
        <w:rPr>
          <w:rFonts w:ascii="Verdana" w:hAnsi="Verdana" w:cs="Arial"/>
          <w:b/>
          <w:sz w:val="20"/>
          <w:szCs w:val="20"/>
          <w:u w:val="single"/>
        </w:rPr>
      </w:pPr>
      <w:r>
        <w:rPr>
          <w:rFonts w:cs="Arial" w:ascii="Verdana" w:hAnsi="Verdana"/>
          <w:b/>
          <w:sz w:val="20"/>
          <w:szCs w:val="20"/>
          <w:u w:val="single"/>
        </w:rPr>
      </w:r>
    </w:p>
    <w:p>
      <w:pPr>
        <w:pStyle w:val="Normal"/>
        <w:spacing w:lineRule="auto" w:line="240"/>
        <w:ind w:left="0" w:right="0" w:hanging="0"/>
        <w:jc w:val="both"/>
        <w:rPr>
          <w:rFonts w:ascii="Verdana" w:hAnsi="Verdana"/>
          <w:sz w:val="20"/>
          <w:szCs w:val="20"/>
        </w:rPr>
      </w:pPr>
      <w:r>
        <w:rPr>
          <w:rFonts w:cs="Arial" w:ascii="Verdana" w:hAnsi="Verdana"/>
          <w:b/>
          <w:bCs/>
          <w:i w:val="false"/>
          <w:iCs w:val="false"/>
          <w:color w:val="000000"/>
          <w:sz w:val="20"/>
          <w:szCs w:val="20"/>
        </w:rPr>
        <w:t>8. OBRIGAÇÕES DA CONTRATADA</w:t>
      </w:r>
    </w:p>
    <w:p>
      <w:pPr>
        <w:pStyle w:val="Normal"/>
        <w:spacing w:lineRule="auto" w:line="240"/>
        <w:ind w:left="0" w:right="0" w:hanging="0"/>
        <w:jc w:val="both"/>
        <w:rPr>
          <w:rFonts w:ascii="Verdana" w:hAnsi="Verdana"/>
          <w:sz w:val="20"/>
          <w:szCs w:val="20"/>
        </w:rPr>
      </w:pPr>
      <w:r>
        <w:rPr>
          <w:rFonts w:cs="Arial" w:ascii="Verdana" w:hAnsi="Verdana"/>
          <w:b w:val="false"/>
          <w:bCs w:val="false"/>
          <w:i w:val="false"/>
          <w:iCs w:val="false"/>
          <w:color w:val="000000"/>
          <w:sz w:val="20"/>
          <w:szCs w:val="20"/>
        </w:rPr>
        <w:t>8.1. A Contratada deve cumprir todas as obrigações constantes neste TR, seus anexos e sua proposta, assumindo como exclusivamente seus os riscos e as despesas decorrentes da boa e perfeita execução do objeto.</w:t>
      </w:r>
      <w:bookmarkStart w:id="5" w:name="page68R_mcid171"/>
    </w:p>
    <w:p>
      <w:pPr>
        <w:pStyle w:val="Normal"/>
        <w:spacing w:lineRule="auto" w:line="240"/>
        <w:ind w:left="0" w:right="0" w:hanging="0"/>
        <w:jc w:val="both"/>
        <w:rPr>
          <w:rFonts w:ascii="Verdana" w:hAnsi="Verdana"/>
          <w:sz w:val="20"/>
          <w:szCs w:val="20"/>
        </w:rPr>
      </w:pPr>
      <w:r>
        <w:rPr>
          <w:rFonts w:cs="Arial" w:ascii="Verdana" w:hAnsi="Verdana"/>
          <w:b w:val="false"/>
          <w:bCs w:val="false"/>
          <w:i w:val="false"/>
          <w:iCs w:val="false"/>
          <w:color w:val="000000"/>
          <w:sz w:val="20"/>
          <w:szCs w:val="20"/>
        </w:rPr>
        <w:t>8.2. Efetuar a entrega dos materiais em perfeitas condições, conforme especificações, prazo e local constantes no Termo de Referência e seus anexos, acompanhado da respectiva nota fiscal, na qual constarão as indicações referentes a: marca, fabricante, modelo, procedência e prazo de validade. Registro na ANVISA, nome do responsável técnico pela esterilização do produto.</w:t>
      </w:r>
    </w:p>
    <w:p>
      <w:pPr>
        <w:pStyle w:val="Normal"/>
        <w:spacing w:lineRule="auto" w:line="240"/>
        <w:ind w:left="0" w:right="0" w:hanging="0"/>
        <w:jc w:val="both"/>
        <w:rPr>
          <w:rFonts w:ascii="Verdana" w:hAnsi="Verdana"/>
          <w:sz w:val="20"/>
          <w:szCs w:val="20"/>
        </w:rPr>
      </w:pPr>
      <w:r>
        <w:rPr>
          <w:rFonts w:cs="Arial" w:ascii="Verdana" w:hAnsi="Verdana"/>
          <w:b w:val="false"/>
          <w:bCs w:val="false"/>
          <w:i w:val="false"/>
          <w:iCs w:val="false"/>
          <w:color w:val="000000"/>
          <w:sz w:val="20"/>
          <w:szCs w:val="20"/>
        </w:rPr>
        <w:t>8.3. Responsabilizar-se pelos vícios e danos decorrentes do objeto, de acordo com os artigos 12, 13 e 17 a 27, do Código de Defesa do Consumidor (Lei nº 8.078, de 1990).</w:t>
      </w:r>
    </w:p>
    <w:p>
      <w:pPr>
        <w:pStyle w:val="Normal"/>
        <w:spacing w:lineRule="auto" w:line="240"/>
        <w:ind w:left="0" w:right="0" w:hanging="0"/>
        <w:jc w:val="both"/>
        <w:rPr>
          <w:rFonts w:ascii="Verdana" w:hAnsi="Verdana"/>
          <w:sz w:val="20"/>
          <w:szCs w:val="20"/>
        </w:rPr>
      </w:pPr>
      <w:r>
        <w:rPr>
          <w:rFonts w:cs="Arial" w:ascii="Verdana" w:hAnsi="Verdana"/>
          <w:b w:val="false"/>
          <w:bCs w:val="false"/>
          <w:i w:val="false"/>
          <w:iCs w:val="false"/>
          <w:color w:val="000000"/>
          <w:sz w:val="20"/>
          <w:szCs w:val="20"/>
        </w:rPr>
        <w:t>8.4. Substituir, reparar ou corrigir, às suas expensas, no prazo fixado neste Termo de Referência, o objeto com avarias ou defeitos.</w:t>
      </w:r>
    </w:p>
    <w:p>
      <w:pPr>
        <w:pStyle w:val="Normal"/>
        <w:spacing w:lineRule="auto" w:line="240"/>
        <w:ind w:left="0" w:right="0" w:hanging="0"/>
        <w:jc w:val="both"/>
        <w:rPr>
          <w:rFonts w:ascii="Verdana" w:hAnsi="Verdana"/>
          <w:sz w:val="20"/>
          <w:szCs w:val="20"/>
        </w:rPr>
      </w:pPr>
      <w:r>
        <w:rPr>
          <w:rFonts w:eastAsia="Times New Roman" w:cs="Arial" w:ascii="Verdana" w:hAnsi="Verdana"/>
          <w:b w:val="false"/>
          <w:bCs w:val="false"/>
          <w:i w:val="false"/>
          <w:iCs w:val="false"/>
          <w:color w:val="000000"/>
          <w:sz w:val="20"/>
          <w:szCs w:val="20"/>
        </w:rPr>
        <w:t xml:space="preserve">8.5. </w:t>
      </w:r>
      <w:r>
        <w:rPr>
          <w:rFonts w:cs="Arial" w:ascii="Verdana" w:hAnsi="Verdana"/>
          <w:b w:val="false"/>
          <w:bCs w:val="false"/>
          <w:i w:val="false"/>
          <w:iCs w:val="false"/>
          <w:color w:val="000000"/>
          <w:sz w:val="20"/>
          <w:szCs w:val="20"/>
        </w:rPr>
        <w:t>Comunicar à Contratante, no prazo máximo de 05 (cinco) dias que antecede a data da entrega, os motivos que impossibilitem o cumprimento do prazo previsto, com a devida comprovação.</w:t>
      </w:r>
    </w:p>
    <w:p>
      <w:pPr>
        <w:pStyle w:val="Normal"/>
        <w:spacing w:lineRule="auto" w:line="240"/>
        <w:ind w:left="0" w:right="0" w:hanging="0"/>
        <w:jc w:val="both"/>
        <w:rPr>
          <w:rFonts w:ascii="Verdana" w:hAnsi="Verdana"/>
          <w:sz w:val="20"/>
          <w:szCs w:val="20"/>
        </w:rPr>
      </w:pPr>
      <w:r>
        <w:rPr>
          <w:rFonts w:eastAsia="Times New Roman" w:cs="Arial" w:ascii="Verdana" w:hAnsi="Verdana"/>
          <w:b w:val="false"/>
          <w:bCs w:val="false"/>
          <w:i w:val="false"/>
          <w:iCs w:val="false"/>
          <w:color w:val="000000"/>
          <w:sz w:val="20"/>
          <w:szCs w:val="20"/>
        </w:rPr>
        <w:t xml:space="preserve">8.6. </w:t>
      </w:r>
      <w:r>
        <w:rPr>
          <w:rFonts w:cs="Arial" w:ascii="Verdana" w:hAnsi="Verdana"/>
          <w:b w:val="false"/>
          <w:bCs w:val="false"/>
          <w:i w:val="false"/>
          <w:iCs w:val="false"/>
          <w:color w:val="000000"/>
          <w:sz w:val="20"/>
          <w:szCs w:val="20"/>
        </w:rPr>
        <w:t>Manter, durante toda a execução d</w:t>
      </w:r>
      <w:r>
        <w:rPr>
          <w:rFonts w:eastAsia="Times New Roman" w:cs="Arial" w:ascii="Verdana" w:hAnsi="Verdana"/>
          <w:b w:val="false"/>
          <w:bCs w:val="false"/>
          <w:i w:val="false"/>
          <w:iCs w:val="false"/>
          <w:color w:val="000000"/>
          <w:sz w:val="20"/>
          <w:szCs w:val="20"/>
        </w:rPr>
        <w:t>a ata de registro de preços</w:t>
      </w:r>
      <w:r>
        <w:rPr>
          <w:rFonts w:cs="Arial" w:ascii="Verdana" w:hAnsi="Verdana"/>
          <w:b w:val="false"/>
          <w:bCs w:val="false"/>
          <w:i w:val="false"/>
          <w:iCs w:val="false"/>
          <w:color w:val="000000"/>
          <w:sz w:val="20"/>
          <w:szCs w:val="20"/>
        </w:rPr>
        <w:t>, em compatibilidade com as obrigações assumidas, todas as condições de habilitação e qualificação exigidas na licitação.</w:t>
      </w:r>
    </w:p>
    <w:p>
      <w:pPr>
        <w:pStyle w:val="Normal"/>
        <w:tabs>
          <w:tab w:val="clear" w:pos="708"/>
          <w:tab w:val="left" w:pos="0" w:leader="none"/>
        </w:tabs>
        <w:spacing w:lineRule="auto" w:line="240"/>
        <w:ind w:left="0" w:right="0" w:hanging="0"/>
        <w:jc w:val="both"/>
        <w:rPr>
          <w:rFonts w:ascii="Verdana" w:hAnsi="Verdana"/>
          <w:sz w:val="20"/>
          <w:szCs w:val="20"/>
        </w:rPr>
      </w:pPr>
      <w:r>
        <w:rPr>
          <w:rFonts w:eastAsia="Times New Roman" w:cs="Arial" w:ascii="Verdana" w:hAnsi="Verdana"/>
          <w:b w:val="false"/>
          <w:bCs w:val="false"/>
          <w:i w:val="false"/>
          <w:iCs w:val="false"/>
          <w:color w:val="000000"/>
          <w:sz w:val="20"/>
          <w:szCs w:val="20"/>
        </w:rPr>
        <w:t xml:space="preserve">8.7. </w:t>
      </w:r>
      <w:r>
        <w:rPr>
          <w:rFonts w:cs="Arial" w:ascii="Verdana" w:hAnsi="Verdana"/>
          <w:b w:val="false"/>
          <w:bCs w:val="false"/>
          <w:i w:val="false"/>
          <w:iCs w:val="false"/>
          <w:color w:val="000000"/>
          <w:sz w:val="20"/>
          <w:szCs w:val="20"/>
        </w:rPr>
        <w:t>Indicar preposto para representá-la durante a execução Da ata de registro de preços.</w:t>
      </w:r>
    </w:p>
    <w:p>
      <w:pPr>
        <w:pStyle w:val="Normal"/>
        <w:tabs>
          <w:tab w:val="clear" w:pos="708"/>
          <w:tab w:val="left" w:pos="0" w:leader="none"/>
        </w:tabs>
        <w:spacing w:lineRule="auto" w:line="240"/>
        <w:ind w:left="0" w:right="0" w:hanging="0"/>
        <w:jc w:val="both"/>
        <w:rPr>
          <w:rFonts w:ascii="Verdana" w:hAnsi="Verdana"/>
          <w:sz w:val="20"/>
          <w:szCs w:val="20"/>
        </w:rPr>
      </w:pPr>
      <w:r>
        <w:rPr>
          <w:rFonts w:eastAsia="Times New Roman" w:cs="Arial" w:ascii="Verdana" w:hAnsi="Verdana"/>
          <w:b w:val="false"/>
          <w:bCs w:val="false"/>
          <w:i w:val="false"/>
          <w:iCs w:val="false"/>
          <w:color w:val="000000"/>
          <w:sz w:val="20"/>
          <w:szCs w:val="20"/>
        </w:rPr>
        <w:t xml:space="preserve">8.8. </w:t>
      </w:r>
      <w:r>
        <w:rPr>
          <w:rFonts w:cs="Arial" w:ascii="Verdana" w:hAnsi="Verdana"/>
          <w:b w:val="false"/>
          <w:bCs w:val="false"/>
          <w:i w:val="false"/>
          <w:iCs w:val="false"/>
          <w:color w:val="000000"/>
          <w:sz w:val="20"/>
          <w:szCs w:val="20"/>
        </w:rPr>
        <w:t xml:space="preserve">A </w:t>
      </w:r>
      <w:r>
        <w:rPr>
          <w:rFonts w:eastAsia="Times New Roman" w:cs="Arial" w:ascii="Verdana" w:hAnsi="Verdana"/>
          <w:b w:val="false"/>
          <w:bCs w:val="false"/>
          <w:i w:val="false"/>
          <w:iCs w:val="false"/>
          <w:color w:val="000000"/>
          <w:sz w:val="20"/>
          <w:szCs w:val="20"/>
        </w:rPr>
        <w:t>contratada</w:t>
      </w:r>
      <w:r>
        <w:rPr>
          <w:rFonts w:cs="Arial" w:ascii="Verdana" w:hAnsi="Verdana"/>
          <w:b w:val="false"/>
          <w:bCs w:val="false"/>
          <w:i w:val="false"/>
          <w:iCs w:val="false"/>
          <w:color w:val="000000"/>
          <w:sz w:val="20"/>
          <w:szCs w:val="20"/>
        </w:rPr>
        <w:t xml:space="preserve"> será responsável pela observância das leis, decretos, regulamentos, portarias e normas federais, estaduais e municipais direta e indiretamente aplicáveis ao objeto do contrato.</w:t>
      </w:r>
    </w:p>
    <w:p>
      <w:pPr>
        <w:pStyle w:val="Normal"/>
        <w:tabs>
          <w:tab w:val="clear" w:pos="708"/>
          <w:tab w:val="left" w:pos="0" w:leader="none"/>
        </w:tabs>
        <w:spacing w:lineRule="auto" w:line="240"/>
        <w:ind w:left="0" w:right="0" w:hanging="0"/>
        <w:jc w:val="both"/>
        <w:rPr>
          <w:rFonts w:ascii="Verdana" w:hAnsi="Verdana"/>
          <w:sz w:val="20"/>
          <w:szCs w:val="20"/>
        </w:rPr>
      </w:pPr>
      <w:r>
        <w:rPr>
          <w:rFonts w:cs="Arial" w:ascii="Verdana" w:hAnsi="Verdana"/>
          <w:b w:val="false"/>
          <w:bCs w:val="false"/>
          <w:i w:val="false"/>
          <w:iCs w:val="false"/>
          <w:color w:val="000000"/>
          <w:sz w:val="20"/>
          <w:szCs w:val="20"/>
        </w:rPr>
        <w:t xml:space="preserve">8.9.Durante a execução da ata de registro de preços, a </w:t>
      </w:r>
      <w:r>
        <w:rPr>
          <w:rFonts w:eastAsia="Times New Roman" w:cs="Arial" w:ascii="Verdana" w:hAnsi="Verdana"/>
          <w:b w:val="false"/>
          <w:bCs w:val="false"/>
          <w:i w:val="false"/>
          <w:iCs w:val="false"/>
          <w:color w:val="000000"/>
          <w:sz w:val="20"/>
          <w:szCs w:val="20"/>
        </w:rPr>
        <w:t>contratada</w:t>
      </w:r>
      <w:r>
        <w:rPr>
          <w:rFonts w:cs="Arial" w:ascii="Verdana" w:hAnsi="Verdana"/>
          <w:b w:val="false"/>
          <w:bCs w:val="false"/>
          <w:i w:val="false"/>
          <w:iCs w:val="false"/>
          <w:color w:val="000000"/>
          <w:sz w:val="20"/>
          <w:szCs w:val="20"/>
        </w:rPr>
        <w:t xml:space="preserve"> deverá:</w:t>
      </w:r>
      <w:r>
        <w:rPr>
          <w:rFonts w:ascii="Verdana" w:hAnsi="Verdana"/>
          <w:sz w:val="20"/>
          <w:szCs w:val="20"/>
        </w:rPr>
        <w:br/>
      </w:r>
      <w:r>
        <w:rPr>
          <w:rFonts w:eastAsia="Times New Roman" w:cs="Arial" w:ascii="Verdana" w:hAnsi="Verdana"/>
          <w:b w:val="false"/>
          <w:bCs w:val="false"/>
          <w:i w:val="false"/>
          <w:iCs w:val="false"/>
          <w:color w:val="000000"/>
          <w:sz w:val="20"/>
          <w:szCs w:val="20"/>
        </w:rPr>
        <w:t>8.9.1.</w:t>
      </w:r>
      <w:r>
        <w:rPr>
          <w:rFonts w:cs="Arial" w:ascii="Verdana" w:hAnsi="Verdana"/>
          <w:b w:val="false"/>
          <w:bCs w:val="false"/>
          <w:i w:val="false"/>
          <w:iCs w:val="false"/>
          <w:color w:val="000000"/>
          <w:sz w:val="20"/>
          <w:szCs w:val="20"/>
        </w:rPr>
        <w:t xml:space="preserve"> Atender prontamente às solicitações </w:t>
      </w:r>
      <w:r>
        <w:rPr>
          <w:rFonts w:eastAsia="Times New Roman" w:cs="Arial" w:ascii="Verdana" w:hAnsi="Verdana"/>
          <w:b w:val="false"/>
          <w:bCs w:val="false"/>
          <w:i w:val="false"/>
          <w:iCs w:val="false"/>
          <w:color w:val="000000"/>
          <w:sz w:val="20"/>
          <w:szCs w:val="20"/>
        </w:rPr>
        <w:t xml:space="preserve">da secretaria </w:t>
      </w:r>
      <w:r>
        <w:rPr>
          <w:rFonts w:cs="Arial" w:ascii="Verdana" w:hAnsi="Verdana"/>
          <w:b w:val="false"/>
          <w:bCs w:val="false"/>
          <w:i w:val="false"/>
          <w:iCs w:val="false"/>
          <w:color w:val="000000"/>
          <w:sz w:val="20"/>
          <w:szCs w:val="20"/>
        </w:rPr>
        <w:t xml:space="preserve">no fornecimento </w:t>
      </w:r>
      <w:r>
        <w:rPr>
          <w:rFonts w:eastAsia="Times New Roman" w:cs="Arial" w:ascii="Verdana" w:hAnsi="Verdana"/>
          <w:b w:val="false"/>
          <w:bCs w:val="false"/>
          <w:i w:val="false"/>
          <w:iCs w:val="false"/>
          <w:color w:val="000000"/>
          <w:sz w:val="20"/>
          <w:szCs w:val="20"/>
        </w:rPr>
        <w:t>dos tubos</w:t>
      </w:r>
      <w:r>
        <w:rPr>
          <w:rFonts w:cs="Arial" w:ascii="Verdana" w:hAnsi="Verdana"/>
          <w:b w:val="false"/>
          <w:bCs w:val="false"/>
          <w:i w:val="false"/>
          <w:iCs w:val="false"/>
          <w:color w:val="000000"/>
          <w:sz w:val="20"/>
          <w:szCs w:val="20"/>
        </w:rPr>
        <w:t xml:space="preserve"> nas quantidades e especificações deste </w:t>
      </w:r>
      <w:r>
        <w:rPr>
          <w:rFonts w:eastAsia="Times New Roman" w:cs="Arial" w:ascii="Verdana" w:hAnsi="Verdana"/>
          <w:b w:val="false"/>
          <w:bCs w:val="false"/>
          <w:i w:val="false"/>
          <w:iCs w:val="false"/>
          <w:color w:val="000000"/>
          <w:sz w:val="20"/>
          <w:szCs w:val="20"/>
        </w:rPr>
        <w:t>termo de referência.</w:t>
      </w:r>
    </w:p>
    <w:p>
      <w:pPr>
        <w:pStyle w:val="Normal"/>
        <w:tabs>
          <w:tab w:val="clear" w:pos="708"/>
          <w:tab w:val="left" w:pos="0" w:leader="none"/>
        </w:tabs>
        <w:spacing w:lineRule="auto" w:line="240"/>
        <w:ind w:left="0" w:right="0" w:hanging="0"/>
        <w:jc w:val="both"/>
        <w:rPr>
          <w:rFonts w:ascii="Verdana" w:hAnsi="Verdana"/>
          <w:sz w:val="20"/>
          <w:szCs w:val="20"/>
        </w:rPr>
      </w:pPr>
      <w:r>
        <w:rPr>
          <w:rFonts w:eastAsia="Times New Roman" w:cs="Arial" w:ascii="Verdana" w:hAnsi="Verdana"/>
          <w:b w:val="false"/>
          <w:bCs w:val="false"/>
          <w:i w:val="false"/>
          <w:iCs w:val="false"/>
          <w:color w:val="000000"/>
          <w:sz w:val="20"/>
          <w:szCs w:val="20"/>
        </w:rPr>
        <w:t>8.9.</w:t>
      </w:r>
      <w:r>
        <w:rPr>
          <w:rFonts w:cs="Arial" w:ascii="Verdana" w:hAnsi="Verdana"/>
          <w:b w:val="false"/>
          <w:bCs w:val="false"/>
          <w:i w:val="false"/>
          <w:iCs w:val="false"/>
          <w:color w:val="000000"/>
          <w:sz w:val="20"/>
          <w:szCs w:val="20"/>
        </w:rPr>
        <w:t>2. Entregar os materiais acondicionados adequadamente, em invólucro lacrado, de forma a permitir completa segurança durante o transporte, acompanhado de nota fiscal, discriminado o quantitativo do produto, de acordo com as especificações técnicas.</w:t>
      </w:r>
    </w:p>
    <w:p>
      <w:pPr>
        <w:pStyle w:val="Normal"/>
        <w:tabs>
          <w:tab w:val="clear" w:pos="708"/>
          <w:tab w:val="left" w:pos="0" w:leader="none"/>
        </w:tabs>
        <w:spacing w:lineRule="auto" w:line="240"/>
        <w:ind w:left="0" w:right="0" w:hanging="0"/>
        <w:jc w:val="both"/>
        <w:rPr>
          <w:rFonts w:ascii="Verdana" w:hAnsi="Verdana"/>
          <w:sz w:val="20"/>
          <w:szCs w:val="20"/>
        </w:rPr>
      </w:pPr>
      <w:r>
        <w:rPr>
          <w:rFonts w:eastAsia="Times New Roman" w:cs="Arial" w:ascii="Verdana" w:hAnsi="Verdana"/>
          <w:b w:val="false"/>
          <w:bCs w:val="false"/>
          <w:i w:val="false"/>
          <w:iCs w:val="false"/>
          <w:color w:val="000000"/>
          <w:sz w:val="20"/>
          <w:szCs w:val="20"/>
        </w:rPr>
        <w:t xml:space="preserve">8.9.3. </w:t>
      </w:r>
      <w:r>
        <w:rPr>
          <w:rFonts w:cs="Arial" w:ascii="Verdana" w:hAnsi="Verdana"/>
          <w:b w:val="false"/>
          <w:bCs w:val="false"/>
          <w:i w:val="false"/>
          <w:iCs w:val="false"/>
          <w:color w:val="000000"/>
          <w:sz w:val="20"/>
          <w:szCs w:val="20"/>
        </w:rPr>
        <w:t>A nota fiscal deverá ser acompanhada pelas Certidões de Regularidades Fiscais.</w:t>
      </w:r>
      <w:r>
        <w:rPr>
          <w:rFonts w:ascii="Verdana" w:hAnsi="Verdana"/>
          <w:sz w:val="20"/>
          <w:szCs w:val="20"/>
        </w:rPr>
        <w:br/>
      </w:r>
      <w:r>
        <w:rPr>
          <w:rFonts w:eastAsia="Times New Roman" w:cs="Arial" w:ascii="Verdana" w:hAnsi="Verdana"/>
          <w:b w:val="false"/>
          <w:bCs w:val="false"/>
          <w:i w:val="false"/>
          <w:iCs w:val="false"/>
          <w:color w:val="000000"/>
          <w:sz w:val="20"/>
          <w:szCs w:val="20"/>
        </w:rPr>
        <w:t xml:space="preserve">8.9.4. </w:t>
      </w:r>
      <w:bookmarkStart w:id="6" w:name="_GoBack1111"/>
      <w:r>
        <w:rPr>
          <w:rFonts w:cs="Arial" w:ascii="Verdana" w:hAnsi="Verdana"/>
          <w:b w:val="false"/>
          <w:bCs w:val="false"/>
          <w:i w:val="false"/>
          <w:iCs w:val="false"/>
          <w:color w:val="000000"/>
          <w:sz w:val="20"/>
          <w:szCs w:val="20"/>
        </w:rPr>
        <w:t>Substituir quaisquer objeto que não esteja dentro do padrão de qualidade, em bom estado de conservação, que apresente defeito ou não esteja em conformidade com as especificações da proposta apresentada.</w:t>
      </w:r>
    </w:p>
    <w:p>
      <w:pPr>
        <w:pStyle w:val="Normal"/>
        <w:tabs>
          <w:tab w:val="clear" w:pos="708"/>
          <w:tab w:val="left" w:pos="0" w:leader="none"/>
        </w:tabs>
        <w:spacing w:lineRule="auto" w:line="240"/>
        <w:ind w:left="0" w:right="0" w:hanging="0"/>
        <w:jc w:val="both"/>
        <w:rPr>
          <w:rFonts w:ascii="Verdana" w:hAnsi="Verdana" w:cs="Arial"/>
          <w:b/>
          <w:sz w:val="20"/>
          <w:szCs w:val="20"/>
          <w:u w:val="single"/>
        </w:rPr>
      </w:pPr>
      <w:r>
        <w:rPr>
          <w:rFonts w:cs="Arial" w:ascii="Verdana" w:hAnsi="Verdana"/>
          <w:b/>
          <w:sz w:val="20"/>
          <w:szCs w:val="20"/>
          <w:u w:val="single"/>
        </w:rPr>
      </w:r>
    </w:p>
    <w:p>
      <w:pPr>
        <w:pStyle w:val="Normal"/>
        <w:spacing w:lineRule="auto" w:line="240"/>
        <w:ind w:left="0" w:right="0" w:hanging="0"/>
        <w:jc w:val="both"/>
        <w:rPr>
          <w:rFonts w:ascii="Verdana" w:hAnsi="Verdana"/>
          <w:sz w:val="20"/>
          <w:szCs w:val="20"/>
        </w:rPr>
      </w:pPr>
      <w:r>
        <w:rPr>
          <w:rFonts w:cs="Arial" w:ascii="Verdana" w:hAnsi="Verdana"/>
          <w:b/>
          <w:bCs/>
          <w:i w:val="false"/>
          <w:iCs w:val="false"/>
          <w:color w:val="000000"/>
          <w:sz w:val="20"/>
          <w:szCs w:val="20"/>
        </w:rPr>
        <w:t>9. DO CONTROLE E FISCALIZAÇÃO DA EXECUÇÃO</w:t>
      </w:r>
    </w:p>
    <w:p>
      <w:pPr>
        <w:pStyle w:val="Normal"/>
        <w:spacing w:lineRule="auto" w:line="240"/>
        <w:ind w:left="0" w:right="0" w:hanging="0"/>
        <w:jc w:val="both"/>
        <w:rPr>
          <w:rFonts w:ascii="Verdana" w:hAnsi="Verdana"/>
          <w:sz w:val="20"/>
          <w:szCs w:val="20"/>
        </w:rPr>
      </w:pPr>
      <w:r>
        <w:rPr>
          <w:rFonts w:cs="Arial" w:ascii="Verdana" w:hAnsi="Verdana"/>
          <w:b w:val="false"/>
          <w:bCs w:val="false"/>
          <w:i w:val="false"/>
          <w:iCs w:val="false"/>
          <w:color w:val="000000"/>
          <w:sz w:val="20"/>
          <w:szCs w:val="20"/>
        </w:rPr>
        <w:t>9.1. A fiscalização será realizado pelo Almoxarifado da Secretaria Municipal de Saúde para acompanhar e fiscalizar a entrega dos materiais, anotando em registro próprio todas as ocorrências relacionadas com a execução e determinando o que for necessário à regularização de falhas ou defeitos observados.</w:t>
      </w:r>
    </w:p>
    <w:p>
      <w:pPr>
        <w:pStyle w:val="Normal"/>
        <w:spacing w:lineRule="auto" w:line="240"/>
        <w:ind w:left="0" w:right="0" w:hanging="0"/>
        <w:jc w:val="both"/>
        <w:rPr>
          <w:rFonts w:ascii="Verdana" w:hAnsi="Verdana"/>
          <w:sz w:val="20"/>
          <w:szCs w:val="20"/>
        </w:rPr>
      </w:pPr>
      <w:r>
        <w:rPr>
          <w:rFonts w:cs="Arial" w:ascii="Verdana" w:hAnsi="Verdana"/>
          <w:b w:val="false"/>
          <w:bCs w:val="false"/>
          <w:i w:val="false"/>
          <w:iCs w:val="false"/>
          <w:color w:val="000000"/>
          <w:sz w:val="20"/>
          <w:szCs w:val="20"/>
        </w:rPr>
        <w:t>9.2. A fiscalização de que trata este item não exclui nem reduz a responsabilidade da Contratada, inclusive perante terceiros, por qualquer irregularidade, ainda que resultante de imperfeições técnicas ou vícios redibitórios, e na ocorrência desta, não implica responsabilidade da Administração ou de seus agentes e prepostos, de conformidade com a Lei n.º 14.133/2021.</w:t>
      </w:r>
    </w:p>
    <w:p>
      <w:pPr>
        <w:pStyle w:val="Normal"/>
        <w:spacing w:lineRule="auto" w:line="240"/>
        <w:ind w:left="0" w:right="0" w:hanging="0"/>
        <w:jc w:val="both"/>
        <w:rPr>
          <w:rFonts w:ascii="Verdana" w:hAnsi="Verdana" w:cs="Arial"/>
          <w:b/>
          <w:sz w:val="20"/>
          <w:szCs w:val="20"/>
          <w:u w:val="single"/>
        </w:rPr>
      </w:pPr>
      <w:r>
        <w:rPr>
          <w:rFonts w:cs="Arial" w:ascii="Verdana" w:hAnsi="Verdana"/>
          <w:b/>
          <w:sz w:val="20"/>
          <w:szCs w:val="20"/>
          <w:u w:val="single"/>
        </w:rPr>
      </w:r>
    </w:p>
    <w:p>
      <w:pPr>
        <w:pStyle w:val="Normal"/>
        <w:spacing w:lineRule="auto" w:line="240"/>
        <w:ind w:left="0" w:right="0" w:hanging="0"/>
        <w:jc w:val="both"/>
        <w:rPr>
          <w:rFonts w:ascii="Verdana" w:hAnsi="Verdana"/>
          <w:sz w:val="20"/>
          <w:szCs w:val="20"/>
        </w:rPr>
      </w:pPr>
      <w:r>
        <w:rPr>
          <w:rFonts w:ascii="Verdana" w:hAnsi="Verdana"/>
          <w:b/>
          <w:bCs/>
          <w:sz w:val="20"/>
          <w:szCs w:val="20"/>
        </w:rPr>
        <w:t>10. CRITÉRIOS DE PAGAMENTO</w:t>
      </w:r>
    </w:p>
    <w:p>
      <w:pPr>
        <w:pStyle w:val="Normal"/>
        <w:spacing w:lineRule="auto" w:line="240"/>
        <w:ind w:left="0" w:right="0" w:hanging="0"/>
        <w:jc w:val="both"/>
        <w:rPr>
          <w:rFonts w:ascii="Verdana" w:hAnsi="Verdana"/>
          <w:sz w:val="20"/>
          <w:szCs w:val="20"/>
        </w:rPr>
      </w:pPr>
      <w:r>
        <w:rPr>
          <w:rFonts w:ascii="Verdana" w:hAnsi="Verdana"/>
          <w:b w:val="false"/>
          <w:bCs w:val="false"/>
          <w:sz w:val="20"/>
          <w:szCs w:val="20"/>
          <w:lang w:eastAsia="en-US"/>
        </w:rPr>
        <w:t xml:space="preserve">10.1. Recebida a Nota Fiscal ou documento de cobrança equivalente, correrá o prazo de </w:t>
      </w:r>
      <w:r>
        <w:rPr>
          <w:rFonts w:eastAsia="Times New Roman" w:cs="Times New Roman" w:ascii="Verdana" w:hAnsi="Verdana"/>
          <w:b w:val="false"/>
          <w:bCs w:val="false"/>
          <w:sz w:val="20"/>
          <w:szCs w:val="20"/>
          <w:lang w:eastAsia="en-US"/>
        </w:rPr>
        <w:t>(30) trinta</w:t>
      </w:r>
      <w:r>
        <w:rPr>
          <w:rFonts w:ascii="Verdana" w:hAnsi="Verdana"/>
          <w:b w:val="false"/>
          <w:bCs w:val="false"/>
          <w:sz w:val="20"/>
          <w:szCs w:val="20"/>
          <w:lang w:eastAsia="en-US"/>
        </w:rPr>
        <w:t xml:space="preserve"> dias úteis para fins de liquidação, na forma desta seção, prorrogáveis por igual período.</w:t>
      </w:r>
    </w:p>
    <w:p>
      <w:pPr>
        <w:pStyle w:val="Normal"/>
        <w:spacing w:lineRule="auto" w:line="240"/>
        <w:ind w:left="-22" w:right="0" w:hanging="0"/>
        <w:jc w:val="both"/>
        <w:rPr/>
      </w:pPr>
      <w:r>
        <w:rPr>
          <w:rFonts w:ascii="Verdana" w:hAnsi="Verdana"/>
          <w:b w:val="false"/>
          <w:bCs w:val="false"/>
          <w:sz w:val="20"/>
          <w:szCs w:val="20"/>
        </w:rPr>
        <w:t xml:space="preserve">10.2. O prazo de que trata o item anterior será reduzido à metade, mantendo-se a possibilidade de prorrogação, no caso de contratações decorrentes de despesas cujos valores não ultrapassem o limite de que trata o </w:t>
      </w:r>
      <w:r>
        <w:fldChar w:fldCharType="begin"/>
      </w:r>
      <w:r>
        <w:rPr>
          <w:sz w:val="20"/>
          <w:u w:val="none"/>
          <w:b w:val="false"/>
          <w:szCs w:val="20"/>
          <w:bCs w:val="false"/>
          <w:rFonts w:ascii="Verdana" w:hAnsi="Verdana"/>
          <w:color w:val="000000"/>
        </w:rPr>
        <w:instrText xml:space="preserve"> HYPERLINK "http://www.planalto.gov.br/ccivil_03/_ato2019-2022/2021/lei/L14133.htm" \l "art75"</w:instrText>
      </w:r>
      <w:r>
        <w:rPr>
          <w:sz w:val="20"/>
          <w:u w:val="none"/>
          <w:b w:val="false"/>
          <w:szCs w:val="20"/>
          <w:bCs w:val="false"/>
          <w:rFonts w:ascii="Verdana" w:hAnsi="Verdana"/>
          <w:color w:val="000000"/>
        </w:rPr>
        <w:fldChar w:fldCharType="separate"/>
      </w:r>
      <w:r>
        <w:rPr>
          <w:rFonts w:ascii="Verdana" w:hAnsi="Verdana"/>
          <w:b w:val="false"/>
          <w:bCs w:val="false"/>
          <w:color w:val="000000"/>
          <w:sz w:val="20"/>
          <w:szCs w:val="20"/>
          <w:u w:val="none"/>
        </w:rPr>
        <w:t>inciso II do art. 75 da Lei nº 14.133, de 2021</w:t>
      </w:r>
      <w:r>
        <w:rPr>
          <w:sz w:val="20"/>
          <w:u w:val="none"/>
          <w:b w:val="false"/>
          <w:szCs w:val="20"/>
          <w:bCs w:val="false"/>
          <w:rFonts w:ascii="Verdana" w:hAnsi="Verdana"/>
          <w:color w:val="000000"/>
        </w:rPr>
        <w:fldChar w:fldCharType="end"/>
      </w:r>
      <w:r>
        <w:rPr>
          <w:rFonts w:ascii="Verdana" w:hAnsi="Verdana"/>
          <w:b w:val="false"/>
          <w:bCs w:val="false"/>
          <w:color w:val="000000"/>
          <w:sz w:val="20"/>
          <w:szCs w:val="20"/>
          <w:u w:val="none"/>
        </w:rPr>
        <w:t>.</w:t>
      </w:r>
    </w:p>
    <w:p>
      <w:pPr>
        <w:pStyle w:val="Normal"/>
        <w:spacing w:lineRule="auto" w:line="240"/>
        <w:ind w:left="-22" w:right="0" w:hanging="0"/>
        <w:jc w:val="both"/>
        <w:rPr>
          <w:rFonts w:ascii="Verdana" w:hAnsi="Verdana"/>
          <w:sz w:val="20"/>
          <w:szCs w:val="20"/>
        </w:rPr>
      </w:pPr>
      <w:r>
        <w:rPr>
          <w:rFonts w:ascii="Verdana" w:hAnsi="Verdana"/>
          <w:b w:val="false"/>
          <w:bCs w:val="false"/>
          <w:sz w:val="20"/>
          <w:szCs w:val="20"/>
        </w:rPr>
        <w:t xml:space="preserve">10.3. Para fins de liquidação, o setor competente deverá verificar se a nota fiscal ou instrumento de cobrança equivalente apresentado expressa os elementos necessários e essenciais do documento, tais como: </w:t>
      </w:r>
    </w:p>
    <w:p>
      <w:pPr>
        <w:pStyle w:val="Normal"/>
        <w:tabs>
          <w:tab w:val="clear" w:pos="708"/>
          <w:tab w:val="left" w:pos="563" w:leader="none"/>
        </w:tabs>
        <w:spacing w:lineRule="auto" w:line="240"/>
        <w:ind w:left="432" w:right="0" w:hanging="0"/>
        <w:jc w:val="both"/>
        <w:rPr>
          <w:rFonts w:ascii="Verdana" w:hAnsi="Verdana"/>
          <w:sz w:val="20"/>
          <w:szCs w:val="20"/>
        </w:rPr>
      </w:pPr>
      <w:r>
        <w:rPr>
          <w:rFonts w:ascii="Verdana" w:hAnsi="Verdana"/>
          <w:b w:val="false"/>
          <w:bCs w:val="false"/>
          <w:sz w:val="20"/>
          <w:szCs w:val="20"/>
        </w:rPr>
        <w:t>- O prazo de validade;</w:t>
      </w:r>
    </w:p>
    <w:p>
      <w:pPr>
        <w:pStyle w:val="Normal"/>
        <w:tabs>
          <w:tab w:val="clear" w:pos="708"/>
          <w:tab w:val="left" w:pos="563" w:leader="none"/>
        </w:tabs>
        <w:spacing w:lineRule="auto" w:line="240"/>
        <w:ind w:left="432" w:right="0" w:hanging="0"/>
        <w:jc w:val="both"/>
        <w:rPr>
          <w:rFonts w:ascii="Verdana" w:hAnsi="Verdana"/>
          <w:sz w:val="20"/>
          <w:szCs w:val="20"/>
        </w:rPr>
      </w:pPr>
      <w:r>
        <w:rPr>
          <w:rFonts w:ascii="Verdana" w:hAnsi="Verdana"/>
          <w:b w:val="false"/>
          <w:bCs w:val="false"/>
          <w:sz w:val="20"/>
          <w:szCs w:val="20"/>
        </w:rPr>
        <w:t xml:space="preserve">- A data da emissão; </w:t>
      </w:r>
    </w:p>
    <w:p>
      <w:pPr>
        <w:pStyle w:val="Normal"/>
        <w:tabs>
          <w:tab w:val="clear" w:pos="708"/>
          <w:tab w:val="left" w:pos="563" w:leader="none"/>
        </w:tabs>
        <w:spacing w:lineRule="auto" w:line="240"/>
        <w:ind w:left="432" w:right="0" w:hanging="0"/>
        <w:jc w:val="both"/>
        <w:rPr>
          <w:rFonts w:ascii="Verdana" w:hAnsi="Verdana"/>
          <w:sz w:val="20"/>
          <w:szCs w:val="20"/>
        </w:rPr>
      </w:pPr>
      <w:r>
        <w:rPr>
          <w:rFonts w:ascii="Verdana" w:hAnsi="Verdana"/>
          <w:b w:val="false"/>
          <w:bCs w:val="false"/>
          <w:sz w:val="20"/>
          <w:szCs w:val="20"/>
        </w:rPr>
        <w:t xml:space="preserve">- Os dados do contrato e do órgão contratante; </w:t>
      </w:r>
    </w:p>
    <w:p>
      <w:pPr>
        <w:pStyle w:val="Normal"/>
        <w:tabs>
          <w:tab w:val="clear" w:pos="708"/>
          <w:tab w:val="left" w:pos="563" w:leader="none"/>
        </w:tabs>
        <w:spacing w:lineRule="auto" w:line="240"/>
        <w:ind w:left="432" w:right="0" w:hanging="0"/>
        <w:jc w:val="both"/>
        <w:rPr>
          <w:rFonts w:ascii="Verdana" w:hAnsi="Verdana"/>
          <w:sz w:val="20"/>
          <w:szCs w:val="20"/>
        </w:rPr>
      </w:pPr>
      <w:r>
        <w:rPr>
          <w:rFonts w:ascii="Verdana" w:hAnsi="Verdana"/>
          <w:b w:val="false"/>
          <w:bCs w:val="false"/>
          <w:sz w:val="20"/>
          <w:szCs w:val="20"/>
        </w:rPr>
        <w:t xml:space="preserve">- O período respectivo de execução do contrato; </w:t>
      </w:r>
    </w:p>
    <w:p>
      <w:pPr>
        <w:pStyle w:val="Normal"/>
        <w:tabs>
          <w:tab w:val="clear" w:pos="708"/>
          <w:tab w:val="left" w:pos="563" w:leader="none"/>
        </w:tabs>
        <w:spacing w:lineRule="auto" w:line="240"/>
        <w:ind w:left="432" w:right="0" w:hanging="0"/>
        <w:jc w:val="both"/>
        <w:rPr>
          <w:rFonts w:ascii="Verdana" w:hAnsi="Verdana"/>
          <w:sz w:val="20"/>
          <w:szCs w:val="20"/>
        </w:rPr>
      </w:pPr>
      <w:r>
        <w:rPr>
          <w:rFonts w:ascii="Verdana" w:hAnsi="Verdana"/>
          <w:b w:val="false"/>
          <w:bCs w:val="false"/>
          <w:sz w:val="20"/>
          <w:szCs w:val="20"/>
        </w:rPr>
        <w:t xml:space="preserve">- O valor a pagar; e </w:t>
      </w:r>
    </w:p>
    <w:p>
      <w:pPr>
        <w:pStyle w:val="Normal"/>
        <w:tabs>
          <w:tab w:val="clear" w:pos="708"/>
          <w:tab w:val="left" w:pos="563" w:leader="none"/>
        </w:tabs>
        <w:spacing w:lineRule="auto" w:line="240"/>
        <w:ind w:left="432" w:right="0" w:hanging="0"/>
        <w:jc w:val="both"/>
        <w:rPr>
          <w:rFonts w:ascii="Verdana" w:hAnsi="Verdana"/>
          <w:sz w:val="20"/>
          <w:szCs w:val="20"/>
        </w:rPr>
      </w:pPr>
      <w:r>
        <w:rPr>
          <w:rFonts w:ascii="Verdana" w:hAnsi="Verdana"/>
          <w:b w:val="false"/>
          <w:bCs w:val="false"/>
          <w:sz w:val="20"/>
          <w:szCs w:val="20"/>
        </w:rPr>
        <w:t>- Eventual destaque do valor de retenções tributárias cabíveis.</w:t>
      </w:r>
    </w:p>
    <w:p>
      <w:pPr>
        <w:pStyle w:val="Normal"/>
        <w:tabs>
          <w:tab w:val="clear" w:pos="708"/>
          <w:tab w:val="left" w:pos="625" w:leader="none"/>
        </w:tabs>
        <w:spacing w:lineRule="auto" w:line="240"/>
        <w:ind w:left="-57" w:right="0" w:hanging="0"/>
        <w:jc w:val="both"/>
        <w:rPr>
          <w:rFonts w:ascii="Verdana" w:hAnsi="Verdana"/>
          <w:sz w:val="20"/>
          <w:szCs w:val="20"/>
        </w:rPr>
      </w:pPr>
      <w:r>
        <w:rPr>
          <w:rFonts w:ascii="Verdana" w:hAnsi="Verdana"/>
          <w:b w:val="false"/>
          <w:bCs w:val="false"/>
          <w:sz w:val="20"/>
          <w:szCs w:val="20"/>
        </w:rPr>
        <w:t>10.4. Haven</w:t>
      </w:r>
      <w:r>
        <w:rPr>
          <w:rFonts w:ascii="Verdana" w:hAnsi="Verdana"/>
          <w:sz w:val="20"/>
          <w:szCs w:val="20"/>
        </w:rPr>
        <w:t>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pPr>
        <w:pStyle w:val="Normal"/>
        <w:tabs>
          <w:tab w:val="clear" w:pos="708"/>
          <w:tab w:val="left" w:pos="109" w:leader="none"/>
        </w:tabs>
        <w:spacing w:lineRule="auto" w:line="240"/>
        <w:ind w:left="-22" w:right="0" w:hanging="0"/>
        <w:jc w:val="both"/>
        <w:rPr/>
      </w:pPr>
      <w:r>
        <w:rPr>
          <w:rFonts w:ascii="Verdana" w:hAnsi="Verdana"/>
          <w:b w:val="false"/>
          <w:bCs w:val="false"/>
          <w:sz w:val="20"/>
          <w:szCs w:val="20"/>
        </w:rPr>
        <w:t>10.5. A</w:t>
      </w:r>
      <w:r>
        <w:rPr>
          <w:rFonts w:ascii="Verdana" w:hAnsi="Verdana"/>
          <w:b w:val="false"/>
          <w:bCs w:val="false"/>
          <w:sz w:val="20"/>
          <w:szCs w:val="20"/>
          <w:lang w:eastAsia="en-US"/>
        </w:rPr>
        <w:t xml:space="preserve"> nota fisc</w:t>
      </w:r>
      <w:r>
        <w:rPr>
          <w:rFonts w:ascii="Verdana" w:hAnsi="Verdana"/>
          <w:sz w:val="20"/>
          <w:szCs w:val="20"/>
          <w:lang w:eastAsia="en-US"/>
        </w:rPr>
        <w:t>al ou instrumento de cobrança equivalente deverá ser obrigatoriamente acompanhado da comprovação da regularidade fiscal</w:t>
      </w:r>
      <w:r>
        <w:rPr>
          <w:rStyle w:val="LinkdaInternet"/>
          <w:rFonts w:ascii="Verdana" w:hAnsi="Verdana"/>
          <w:sz w:val="20"/>
          <w:szCs w:val="20"/>
          <w:lang w:eastAsia="en-US"/>
        </w:rPr>
        <w:t>.</w:t>
      </w:r>
    </w:p>
    <w:p>
      <w:pPr>
        <w:pStyle w:val="Normal"/>
        <w:spacing w:lineRule="auto" w:line="240"/>
        <w:ind w:left="-22" w:right="0" w:hanging="0"/>
        <w:jc w:val="both"/>
        <w:rPr>
          <w:rFonts w:ascii="Verdana" w:hAnsi="Verdana"/>
          <w:sz w:val="20"/>
          <w:szCs w:val="20"/>
        </w:rPr>
      </w:pPr>
      <w:r>
        <w:rPr>
          <w:rFonts w:ascii="Verdana" w:hAnsi="Verdana"/>
          <w:b w:val="false"/>
          <w:bCs w:val="false"/>
          <w:i w:val="false"/>
          <w:iCs w:val="false"/>
          <w:sz w:val="20"/>
          <w:szCs w:val="20"/>
        </w:rPr>
        <w:t>10.6. O pagamento será efetuado no prazo de até 30 (trinta) dias úteis contados da finalização da liquidação da despesa.</w:t>
      </w:r>
    </w:p>
    <w:p>
      <w:pPr>
        <w:pStyle w:val="Normal"/>
        <w:spacing w:lineRule="auto" w:line="240"/>
        <w:ind w:left="-22" w:right="0" w:hanging="0"/>
        <w:jc w:val="both"/>
        <w:rPr>
          <w:rFonts w:ascii="Verdana" w:hAnsi="Verdana"/>
          <w:sz w:val="20"/>
          <w:szCs w:val="20"/>
        </w:rPr>
      </w:pPr>
      <w:r>
        <w:rPr>
          <w:rFonts w:ascii="Verdana" w:hAnsi="Verdana"/>
          <w:b w:val="false"/>
          <w:bCs w:val="false"/>
          <w:i w:val="false"/>
          <w:iCs w:val="false"/>
          <w:sz w:val="20"/>
          <w:szCs w:val="20"/>
        </w:rPr>
        <w:t>10.7. O pagamento será realizado por meio de ordem bancária, para crédito em banco, agência e conta correntes indicadas pelo contratado.</w:t>
      </w:r>
    </w:p>
    <w:p>
      <w:pPr>
        <w:pStyle w:val="Normal"/>
        <w:spacing w:lineRule="auto" w:line="240"/>
        <w:ind w:left="-22" w:right="0" w:hanging="0"/>
        <w:jc w:val="both"/>
        <w:rPr>
          <w:rFonts w:ascii="Verdana" w:hAnsi="Verdana"/>
          <w:sz w:val="20"/>
          <w:szCs w:val="20"/>
        </w:rPr>
      </w:pPr>
      <w:r>
        <w:rPr>
          <w:rFonts w:ascii="Verdana" w:hAnsi="Verdana"/>
          <w:b w:val="false"/>
          <w:bCs w:val="false"/>
          <w:i w:val="false"/>
          <w:iCs w:val="false"/>
          <w:sz w:val="20"/>
          <w:szCs w:val="20"/>
        </w:rPr>
        <w:t>10.8. Será considerada data do pagamento o dia em que constar como emitida a ordem bancária para pagamento.</w:t>
      </w:r>
    </w:p>
    <w:p>
      <w:pPr>
        <w:pStyle w:val="Normal"/>
        <w:spacing w:lineRule="auto" w:line="240"/>
        <w:ind w:left="-79" w:right="0" w:hanging="0"/>
        <w:jc w:val="both"/>
        <w:rPr>
          <w:rFonts w:ascii="Verdana" w:hAnsi="Verdana"/>
          <w:sz w:val="20"/>
          <w:szCs w:val="20"/>
        </w:rPr>
      </w:pPr>
      <w:r>
        <w:rPr>
          <w:rFonts w:ascii="Verdana" w:hAnsi="Verdana"/>
          <w:b w:val="false"/>
          <w:bCs w:val="false"/>
          <w:i w:val="false"/>
          <w:iCs w:val="false"/>
          <w:sz w:val="20"/>
          <w:szCs w:val="20"/>
        </w:rPr>
        <w:t>10.9. Quando do pagamento, será efetuada a retenção tributária prevista na legislação aplicável.</w:t>
      </w:r>
    </w:p>
    <w:p>
      <w:pPr>
        <w:pStyle w:val="Normal"/>
        <w:spacing w:lineRule="auto" w:line="240"/>
        <w:ind w:left="-79" w:right="0" w:hanging="0"/>
        <w:jc w:val="both"/>
        <w:rPr/>
      </w:pPr>
      <w:r>
        <w:rPr>
          <w:rFonts w:ascii="Verdana" w:hAnsi="Verdana"/>
          <w:b w:val="false"/>
          <w:bCs w:val="false"/>
          <w:i w:val="false"/>
          <w:iCs w:val="false"/>
          <w:sz w:val="20"/>
          <w:szCs w:val="20"/>
          <w:lang w:eastAsia="en-US"/>
        </w:rPr>
        <w:t xml:space="preserve">10.10. O contratado regularmente optante pelo Simples Nacional, nos termos da </w:t>
      </w:r>
      <w:hyperlink r:id="rId2">
        <w:r>
          <w:rPr>
            <w:rFonts w:ascii="Verdana" w:hAnsi="Verdana"/>
            <w:b w:val="false"/>
            <w:bCs w:val="false"/>
            <w:i w:val="false"/>
            <w:iCs w:val="false"/>
            <w:sz w:val="20"/>
            <w:szCs w:val="20"/>
            <w:u w:val="none"/>
            <w:lang w:eastAsia="en-US"/>
          </w:rPr>
          <w:t>Lei Complementar nº 123, de 2006</w:t>
        </w:r>
      </w:hyperlink>
      <w:r>
        <w:rPr>
          <w:rFonts w:ascii="Verdana" w:hAnsi="Verdana"/>
          <w:b w:val="false"/>
          <w:bCs w:val="false"/>
          <w:i w:val="false"/>
          <w:iCs w:val="false"/>
          <w:sz w:val="20"/>
          <w:szCs w:val="20"/>
          <w:lang w:eastAsia="en-US"/>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pPr>
        <w:pStyle w:val="Normal"/>
        <w:spacing w:lineRule="auto" w:line="240"/>
        <w:ind w:left="-79" w:right="0" w:hanging="0"/>
        <w:jc w:val="both"/>
        <w:rPr>
          <w:rFonts w:ascii="Verdana" w:hAnsi="Verdana"/>
          <w:sz w:val="20"/>
          <w:szCs w:val="20"/>
        </w:rPr>
      </w:pPr>
      <w:r>
        <w:rPr>
          <w:rFonts w:ascii="Verdana" w:hAnsi="Verdana"/>
          <w:b w:val="false"/>
          <w:bCs w:val="false"/>
          <w:i w:val="false"/>
          <w:iCs w:val="false"/>
          <w:sz w:val="20"/>
          <w:szCs w:val="20"/>
          <w:lang w:eastAsia="en-US"/>
        </w:rPr>
        <w:t>10.11. Conforme Decreto Municipal nº 3.86/2023 será retido o Imposto de Renda na Fonte nos pagamentos efetuados por Órgãos, Autarquias e Fundações instituídas  e mantidas pelo Município de São Gabriel da Palha a pessoas jurídicas pelo fornecimento de bens e prestação de serviços.</w:t>
      </w:r>
    </w:p>
    <w:p>
      <w:pPr>
        <w:pStyle w:val="Normal"/>
        <w:spacing w:lineRule="auto" w:line="240"/>
        <w:ind w:left="-79" w:right="0" w:hanging="0"/>
        <w:jc w:val="both"/>
        <w:rPr>
          <w:rFonts w:ascii="Verdana" w:hAnsi="Verdana"/>
          <w:sz w:val="20"/>
          <w:szCs w:val="20"/>
        </w:rPr>
      </w:pPr>
      <w:r>
        <w:rPr>
          <w:rFonts w:ascii="Verdana" w:hAnsi="Verdana"/>
          <w:b w:val="false"/>
          <w:bCs w:val="false"/>
          <w:i w:val="false"/>
          <w:iCs w:val="false"/>
          <w:color w:val="000000"/>
          <w:sz w:val="20"/>
          <w:szCs w:val="20"/>
        </w:rPr>
        <w:t>10.11.</w:t>
      </w:r>
      <w:r>
        <w:rPr>
          <w:rFonts w:ascii="Verdana" w:hAnsi="Verdana"/>
          <w:b/>
          <w:bCs/>
          <w:color w:val="000000"/>
          <w:sz w:val="20"/>
          <w:szCs w:val="20"/>
        </w:rPr>
        <w:t xml:space="preserve"> </w:t>
      </w:r>
      <w:r>
        <w:rPr>
          <w:rFonts w:ascii="Verdana" w:hAnsi="Verdana"/>
          <w:sz w:val="20"/>
          <w:szCs w:val="20"/>
        </w:rPr>
        <w:t xml:space="preserve"> Após o prazo acima referenciado, será paga multa financeira nos seguintes termos:</w:t>
      </w:r>
    </w:p>
    <w:p>
      <w:pPr>
        <w:pStyle w:val="PargrafodaLista"/>
        <w:tabs>
          <w:tab w:val="clear" w:pos="708"/>
          <w:tab w:val="left" w:pos="518" w:leader="none"/>
        </w:tabs>
        <w:spacing w:lineRule="auto" w:line="240"/>
        <w:ind w:left="0" w:right="0" w:hanging="0"/>
        <w:jc w:val="center"/>
        <w:rPr>
          <w:rFonts w:ascii="Verdana" w:hAnsi="Verdana"/>
          <w:sz w:val="20"/>
          <w:szCs w:val="20"/>
        </w:rPr>
      </w:pPr>
      <w:r>
        <w:rPr>
          <w:rFonts w:cs="Verdana" w:ascii="Verdana" w:hAnsi="Verdana"/>
          <w:sz w:val="20"/>
          <w:szCs w:val="20"/>
        </w:rPr>
        <w:t xml:space="preserve">VM = VF </w:t>
      </w:r>
      <w:r>
        <w:rPr>
          <w:rFonts w:cs="Verdana" w:ascii="Verdana" w:hAnsi="Verdana"/>
          <w:sz w:val="20"/>
          <w:szCs w:val="20"/>
          <w:vertAlign w:val="subscript"/>
        </w:rPr>
        <w:t>*</w:t>
      </w:r>
      <w:r>
        <w:rPr>
          <w:rFonts w:cs="Verdana" w:ascii="Verdana" w:hAnsi="Verdana"/>
          <w:sz w:val="20"/>
          <w:szCs w:val="20"/>
        </w:rPr>
        <w:t xml:space="preserve"> </w:t>
      </w:r>
      <w:r>
        <w:rPr>
          <w:rFonts w:cs="Verdana" w:ascii="Verdana" w:hAnsi="Verdana"/>
          <w:sz w:val="20"/>
          <w:szCs w:val="20"/>
          <w:u w:val="single"/>
        </w:rPr>
        <w:t>0,33</w:t>
      </w:r>
      <w:r>
        <w:rPr>
          <w:rFonts w:cs="Verdana" w:ascii="Verdana" w:hAnsi="Verdana"/>
          <w:sz w:val="20"/>
          <w:szCs w:val="20"/>
        </w:rPr>
        <w:t xml:space="preserve"> </w:t>
      </w:r>
      <w:r>
        <w:rPr>
          <w:rFonts w:cs="Verdana" w:ascii="Verdana" w:hAnsi="Verdana"/>
          <w:sz w:val="20"/>
          <w:szCs w:val="20"/>
          <w:vertAlign w:val="subscript"/>
        </w:rPr>
        <w:t>*</w:t>
      </w:r>
      <w:r>
        <w:rPr>
          <w:rFonts w:cs="Verdana" w:ascii="Verdana" w:hAnsi="Verdana"/>
          <w:sz w:val="20"/>
          <w:szCs w:val="20"/>
        </w:rPr>
        <w:t xml:space="preserve"> ND</w:t>
      </w:r>
    </w:p>
    <w:p>
      <w:pPr>
        <w:pStyle w:val="PargrafodaLista"/>
        <w:tabs>
          <w:tab w:val="clear" w:pos="708"/>
          <w:tab w:val="left" w:pos="518" w:leader="none"/>
        </w:tabs>
        <w:spacing w:lineRule="auto" w:line="240"/>
        <w:ind w:left="0" w:right="0" w:hanging="0"/>
        <w:jc w:val="center"/>
        <w:rPr>
          <w:rFonts w:ascii="Verdana" w:hAnsi="Verdana"/>
          <w:sz w:val="20"/>
          <w:szCs w:val="20"/>
        </w:rPr>
      </w:pPr>
      <w:r>
        <w:rPr>
          <w:rFonts w:eastAsia="Verdana" w:cs="Verdana" w:ascii="Verdana" w:hAnsi="Verdana"/>
          <w:sz w:val="20"/>
          <w:szCs w:val="20"/>
        </w:rPr>
        <w:t xml:space="preserve">        </w:t>
      </w:r>
      <w:r>
        <w:rPr>
          <w:rFonts w:cs="Verdana" w:ascii="Verdana" w:hAnsi="Verdana"/>
          <w:sz w:val="20"/>
          <w:szCs w:val="20"/>
        </w:rPr>
        <w:t>100</w:t>
      </w:r>
    </w:p>
    <w:p>
      <w:pPr>
        <w:pStyle w:val="Normal"/>
        <w:suppressAutoHyphens w:val="false"/>
        <w:spacing w:lineRule="auto" w:line="240"/>
        <w:rPr>
          <w:rFonts w:ascii="Verdana" w:hAnsi="Verdana"/>
          <w:sz w:val="20"/>
          <w:szCs w:val="20"/>
        </w:rPr>
      </w:pPr>
      <w:r>
        <w:rPr>
          <w:rFonts w:cs="Arial" w:ascii="Verdana" w:hAnsi="Verdana"/>
          <w:color w:val="000000"/>
          <w:sz w:val="20"/>
          <w:szCs w:val="20"/>
        </w:rPr>
        <w:t xml:space="preserve">Onde: </w:t>
      </w:r>
    </w:p>
    <w:p>
      <w:pPr>
        <w:pStyle w:val="Normal"/>
        <w:suppressAutoHyphens w:val="false"/>
        <w:spacing w:lineRule="auto" w:line="240"/>
        <w:rPr>
          <w:rFonts w:ascii="Verdana" w:hAnsi="Verdana"/>
          <w:sz w:val="20"/>
          <w:szCs w:val="20"/>
        </w:rPr>
      </w:pPr>
      <w:r>
        <w:rPr>
          <w:rFonts w:cs="Arial" w:ascii="Verdana" w:hAnsi="Verdana"/>
          <w:color w:val="000000"/>
          <w:sz w:val="20"/>
          <w:szCs w:val="20"/>
        </w:rPr>
        <w:t xml:space="preserve">VM = Valor da Multa Financeira; </w:t>
      </w:r>
    </w:p>
    <w:p>
      <w:pPr>
        <w:pStyle w:val="Normal"/>
        <w:suppressAutoHyphens w:val="false"/>
        <w:spacing w:lineRule="auto" w:line="240"/>
        <w:rPr>
          <w:rFonts w:ascii="Verdana" w:hAnsi="Verdana"/>
          <w:sz w:val="20"/>
          <w:szCs w:val="20"/>
        </w:rPr>
      </w:pPr>
      <w:r>
        <w:rPr>
          <w:rFonts w:cs="Arial" w:ascii="Verdana" w:hAnsi="Verdana"/>
          <w:color w:val="000000"/>
          <w:sz w:val="20"/>
          <w:szCs w:val="20"/>
        </w:rPr>
        <w:t xml:space="preserve">VF = Valor da Nota Fiscal; </w:t>
      </w:r>
    </w:p>
    <w:p>
      <w:pPr>
        <w:pStyle w:val="PargrafodaLista"/>
        <w:tabs>
          <w:tab w:val="clear" w:pos="708"/>
          <w:tab w:val="left" w:pos="518" w:leader="none"/>
        </w:tabs>
        <w:spacing w:lineRule="auto" w:line="240"/>
        <w:ind w:left="0" w:right="0" w:hanging="0"/>
        <w:rPr>
          <w:rFonts w:ascii="Verdana" w:hAnsi="Verdana"/>
          <w:sz w:val="20"/>
          <w:szCs w:val="20"/>
        </w:rPr>
      </w:pPr>
      <w:r>
        <w:rPr>
          <w:rFonts w:eastAsia="Times New Roman" w:cs="Arial" w:ascii="Verdana" w:hAnsi="Verdana"/>
          <w:color w:val="000000"/>
          <w:sz w:val="20"/>
          <w:szCs w:val="20"/>
        </w:rPr>
        <w:t>ND = Número de dias em atraso.</w:t>
      </w:r>
    </w:p>
    <w:p>
      <w:pPr>
        <w:pStyle w:val="Normal"/>
        <w:suppressAutoHyphens w:val="false"/>
        <w:spacing w:lineRule="auto" w:line="240"/>
        <w:jc w:val="both"/>
        <w:rPr>
          <w:rFonts w:ascii="Verdana" w:hAnsi="Verdana"/>
          <w:sz w:val="20"/>
          <w:szCs w:val="20"/>
        </w:rPr>
      </w:pPr>
      <w:r>
        <w:rPr>
          <w:rFonts w:eastAsia="Times New Roman" w:cs="Arial" w:ascii="Verdana" w:hAnsi="Verdana"/>
          <w:b w:val="false"/>
          <w:bCs w:val="false"/>
          <w:color w:val="000000"/>
          <w:sz w:val="20"/>
          <w:szCs w:val="20"/>
        </w:rPr>
        <w:t xml:space="preserve">10.12.. </w:t>
      </w:r>
      <w:r>
        <w:rPr>
          <w:rFonts w:cs="Arial" w:ascii="Verdana" w:hAnsi="Verdana"/>
          <w:b w:val="false"/>
          <w:bCs w:val="false"/>
          <w:color w:val="000000"/>
          <w:sz w:val="20"/>
          <w:szCs w:val="20"/>
        </w:rPr>
        <w:t>A NOTA FISCAL ELETRÔNICA deverá conter o mesmo CNPJ e razão social apresentado quando na proposta, assim como, o número da contratação, o (s) objeto (s), os valores unitários e totais.</w:t>
      </w:r>
    </w:p>
    <w:p>
      <w:pPr>
        <w:pStyle w:val="Normal"/>
        <w:suppressAutoHyphens w:val="false"/>
        <w:spacing w:lineRule="auto" w:line="240"/>
        <w:jc w:val="both"/>
        <w:rPr>
          <w:rFonts w:ascii="Verdana" w:hAnsi="Verdana"/>
          <w:sz w:val="20"/>
          <w:szCs w:val="20"/>
        </w:rPr>
      </w:pPr>
      <w:r>
        <w:rPr>
          <w:rFonts w:eastAsia="Times New Roman" w:cs="Arial" w:ascii="Verdana" w:hAnsi="Verdana"/>
          <w:b w:val="false"/>
          <w:bCs w:val="false"/>
          <w:color w:val="000000"/>
          <w:sz w:val="20"/>
          <w:szCs w:val="20"/>
        </w:rPr>
        <w:t>10.13.</w:t>
      </w:r>
      <w:r>
        <w:rPr>
          <w:rFonts w:cs="Arial" w:ascii="Verdana" w:hAnsi="Verdana"/>
          <w:b w:val="false"/>
          <w:bCs w:val="false"/>
          <w:color w:val="000000"/>
          <w:sz w:val="20"/>
          <w:szCs w:val="20"/>
        </w:rPr>
        <w:t xml:space="preserve"> Qualquer alteração feita no contrato social, ato constitutivo ou estatuto deverá ser co</w:t>
      </w:r>
      <w:r>
        <w:rPr>
          <w:rFonts w:cs="Arial" w:ascii="Verdana" w:hAnsi="Verdana"/>
          <w:color w:val="000000"/>
          <w:sz w:val="20"/>
          <w:szCs w:val="20"/>
        </w:rPr>
        <w:t xml:space="preserve">municado ao CONTRATANTE, mediante documentação própria, para apreciação da autoridade competente. </w:t>
      </w:r>
    </w:p>
    <w:p>
      <w:pPr>
        <w:pStyle w:val="Normal"/>
        <w:suppressAutoHyphens w:val="false"/>
        <w:spacing w:lineRule="auto" w:line="240"/>
        <w:jc w:val="both"/>
        <w:rPr>
          <w:rFonts w:ascii="Verdana" w:hAnsi="Verdana"/>
          <w:sz w:val="20"/>
          <w:szCs w:val="20"/>
        </w:rPr>
      </w:pPr>
      <w:r>
        <w:rPr>
          <w:rFonts w:eastAsia="Times New Roman" w:cs="Arial" w:ascii="Verdana" w:hAnsi="Verdana"/>
          <w:b w:val="false"/>
          <w:bCs w:val="false"/>
          <w:color w:val="000000"/>
          <w:sz w:val="20"/>
          <w:szCs w:val="20"/>
        </w:rPr>
        <w:t xml:space="preserve">10.14. </w:t>
      </w:r>
      <w:r>
        <w:rPr>
          <w:rFonts w:cs="Arial" w:ascii="Verdana" w:hAnsi="Verdana"/>
          <w:b w:val="false"/>
          <w:bCs w:val="false"/>
          <w:color w:val="000000"/>
          <w:sz w:val="20"/>
          <w:szCs w:val="20"/>
        </w:rPr>
        <w:t>O CONTRATANTE poderá deduzir do pagamento importâncias que a qualquer título lhe forem devidos pela empresa CONTRATADA, em decorrência de descumprimento de suas obrigações.</w:t>
      </w:r>
    </w:p>
    <w:p>
      <w:pPr>
        <w:pStyle w:val="Default"/>
        <w:spacing w:lineRule="auto" w:line="240"/>
        <w:jc w:val="both"/>
        <w:rPr>
          <w:rFonts w:ascii="Verdana" w:hAnsi="Verdana"/>
          <w:sz w:val="20"/>
          <w:szCs w:val="20"/>
        </w:rPr>
      </w:pPr>
      <w:r>
        <w:rPr>
          <w:rFonts w:cs="Arial" w:ascii="Verdana" w:hAnsi="Verdana"/>
          <w:b w:val="false"/>
          <w:bCs w:val="false"/>
          <w:sz w:val="20"/>
          <w:szCs w:val="20"/>
        </w:rPr>
        <w:t>10.15.</w:t>
      </w:r>
      <w:r>
        <w:rPr>
          <w:rFonts w:cs="Arial" w:ascii="Verdana" w:hAnsi="Verdana"/>
          <w:sz w:val="20"/>
          <w:szCs w:val="20"/>
        </w:rPr>
        <w:t xml:space="preserve"> Para a efetivação do pagamento, a CONTRATADA deverá manter as </w:t>
      </w:r>
      <w:r>
        <w:rPr>
          <w:rFonts w:cs="Arial" w:ascii="Verdana" w:hAnsi="Verdana"/>
          <w:sz w:val="20"/>
          <w:szCs w:val="20"/>
          <w:lang w:eastAsia="pt-BR"/>
        </w:rPr>
        <w:t>condições relativas à proposta de preço e a habilitação;</w:t>
      </w:r>
    </w:p>
    <w:p>
      <w:pPr>
        <w:pStyle w:val="Default"/>
        <w:spacing w:lineRule="auto" w:line="240"/>
        <w:jc w:val="both"/>
        <w:rPr>
          <w:rFonts w:ascii="Verdana" w:hAnsi="Verdana" w:cs="Arial"/>
          <w:b/>
          <w:sz w:val="20"/>
          <w:szCs w:val="20"/>
          <w:u w:val="single"/>
        </w:rPr>
      </w:pPr>
      <w:r>
        <w:rPr>
          <w:rFonts w:cs="Arial" w:ascii="Verdana" w:hAnsi="Verdana"/>
          <w:b/>
          <w:sz w:val="20"/>
          <w:szCs w:val="20"/>
          <w:u w:val="single"/>
        </w:rPr>
      </w:r>
    </w:p>
    <w:p>
      <w:pPr>
        <w:pStyle w:val="Normal"/>
        <w:spacing w:lineRule="auto" w:line="240"/>
        <w:ind w:left="0" w:right="0" w:hanging="0"/>
        <w:jc w:val="both"/>
        <w:rPr>
          <w:rFonts w:ascii="Verdana" w:hAnsi="Verdana"/>
          <w:sz w:val="20"/>
          <w:szCs w:val="20"/>
        </w:rPr>
      </w:pPr>
      <w:r>
        <w:rPr>
          <w:rFonts w:eastAsia="Times New Roman" w:cs="Times New Roman" w:ascii="Verdana" w:hAnsi="Verdana"/>
          <w:b/>
          <w:bCs/>
          <w:iCs/>
          <w:color w:val="000000"/>
          <w:sz w:val="20"/>
          <w:szCs w:val="20"/>
        </w:rPr>
        <w:t>11</w:t>
      </w:r>
      <w:r>
        <w:rPr>
          <w:rFonts w:ascii="Verdana" w:hAnsi="Verdana"/>
          <w:b/>
          <w:bCs/>
          <w:iCs/>
          <w:sz w:val="20"/>
          <w:szCs w:val="20"/>
        </w:rPr>
        <w:t>. DAS SANÇÕES</w:t>
      </w:r>
    </w:p>
    <w:p>
      <w:pPr>
        <w:pStyle w:val="Normal"/>
        <w:spacing w:lineRule="auto" w:line="240"/>
        <w:ind w:left="0" w:right="0" w:hanging="0"/>
        <w:jc w:val="both"/>
        <w:rPr>
          <w:rFonts w:ascii="Verdana" w:hAnsi="Verdana"/>
          <w:sz w:val="20"/>
          <w:szCs w:val="20"/>
        </w:rPr>
      </w:pPr>
      <w:r>
        <w:rPr>
          <w:rFonts w:eastAsia="Times New Roman" w:cs="Times New Roman" w:ascii="Verdana" w:hAnsi="Verdana"/>
          <w:b w:val="false"/>
          <w:bCs w:val="false"/>
          <w:iCs/>
          <w:color w:val="000000"/>
          <w:sz w:val="20"/>
          <w:szCs w:val="20"/>
        </w:rPr>
        <w:t>11</w:t>
      </w:r>
      <w:r>
        <w:rPr>
          <w:rFonts w:ascii="Verdana" w:hAnsi="Verdana"/>
          <w:b w:val="false"/>
          <w:bCs w:val="false"/>
          <w:iCs/>
          <w:sz w:val="20"/>
          <w:szCs w:val="20"/>
        </w:rPr>
        <w:t>.1. Comete infração administrativa o fornecedor/prestador de serviço que cometer quaisquer das infrações previstas no art. 155 da Lei nº 14.133, de 2021, quais sejam:</w:t>
      </w:r>
    </w:p>
    <w:p>
      <w:pPr>
        <w:pStyle w:val="Normal"/>
        <w:spacing w:lineRule="auto" w:line="240"/>
        <w:ind w:left="0" w:right="0" w:hanging="0"/>
        <w:jc w:val="both"/>
        <w:rPr>
          <w:rFonts w:ascii="Verdana" w:hAnsi="Verdana"/>
          <w:sz w:val="20"/>
          <w:szCs w:val="20"/>
        </w:rPr>
      </w:pPr>
      <w:r>
        <w:rPr>
          <w:rFonts w:eastAsia="Times New Roman" w:cs="Times New Roman" w:ascii="Verdana" w:hAnsi="Verdana"/>
          <w:b w:val="false"/>
          <w:bCs w:val="false"/>
          <w:iCs/>
          <w:color w:val="000000"/>
          <w:sz w:val="20"/>
          <w:szCs w:val="20"/>
        </w:rPr>
        <w:t>11</w:t>
      </w:r>
      <w:r>
        <w:rPr>
          <w:rFonts w:ascii="Verdana" w:hAnsi="Verdana"/>
          <w:b w:val="false"/>
          <w:bCs w:val="false"/>
          <w:iCs/>
          <w:sz w:val="20"/>
          <w:szCs w:val="20"/>
        </w:rPr>
        <w:t>.1.1. Dar causa à inexecução parcial do contrato.</w:t>
      </w:r>
    </w:p>
    <w:p>
      <w:pPr>
        <w:pStyle w:val="Normal"/>
        <w:spacing w:lineRule="auto" w:line="240"/>
        <w:ind w:left="0" w:right="0" w:hanging="0"/>
        <w:jc w:val="both"/>
        <w:rPr>
          <w:rFonts w:ascii="Verdana" w:hAnsi="Verdana"/>
          <w:sz w:val="20"/>
          <w:szCs w:val="20"/>
        </w:rPr>
      </w:pPr>
      <w:r>
        <w:rPr>
          <w:rFonts w:eastAsia="Times New Roman" w:cs="Times New Roman" w:ascii="Verdana" w:hAnsi="Verdana"/>
          <w:b w:val="false"/>
          <w:bCs w:val="false"/>
          <w:iCs/>
          <w:color w:val="000000"/>
          <w:sz w:val="20"/>
          <w:szCs w:val="20"/>
        </w:rPr>
        <w:t>11</w:t>
      </w:r>
      <w:r>
        <w:rPr>
          <w:rFonts w:ascii="Verdana" w:hAnsi="Verdana"/>
          <w:b w:val="false"/>
          <w:bCs w:val="false"/>
          <w:iCs/>
          <w:sz w:val="20"/>
          <w:szCs w:val="20"/>
        </w:rPr>
        <w:t>.1.2. Dar causa à inexecução parcial que cause grave dano à Administração, ao funcionamento dos serviços públicos ou ao interesse coletivo.</w:t>
      </w:r>
    </w:p>
    <w:p>
      <w:pPr>
        <w:pStyle w:val="Normal"/>
        <w:spacing w:lineRule="auto" w:line="240"/>
        <w:ind w:left="0" w:right="0" w:hanging="0"/>
        <w:jc w:val="both"/>
        <w:rPr>
          <w:rFonts w:ascii="Verdana" w:hAnsi="Verdana"/>
          <w:sz w:val="20"/>
          <w:szCs w:val="20"/>
        </w:rPr>
      </w:pPr>
      <w:r>
        <w:rPr>
          <w:rFonts w:eastAsia="Times New Roman" w:cs="Times New Roman" w:ascii="Verdana" w:hAnsi="Verdana"/>
          <w:b w:val="false"/>
          <w:bCs w:val="false"/>
          <w:iCs/>
          <w:color w:val="000000"/>
          <w:sz w:val="20"/>
          <w:szCs w:val="20"/>
        </w:rPr>
        <w:t>11</w:t>
      </w:r>
      <w:r>
        <w:rPr>
          <w:rFonts w:ascii="Verdana" w:hAnsi="Verdana"/>
          <w:b w:val="false"/>
          <w:bCs w:val="false"/>
          <w:iCs/>
          <w:sz w:val="20"/>
          <w:szCs w:val="20"/>
        </w:rPr>
        <w:t>.1.3. Dar causa à inexecução</w:t>
      </w:r>
      <w:r>
        <w:rPr>
          <w:rFonts w:ascii="Verdana" w:hAnsi="Verdana"/>
          <w:b w:val="false"/>
          <w:bCs w:val="false"/>
          <w:iCs/>
          <w:sz w:val="20"/>
          <w:szCs w:val="20"/>
          <w:u w:val="none"/>
        </w:rPr>
        <w:t xml:space="preserve"> </w:t>
      </w:r>
      <w:r>
        <w:rPr>
          <w:rFonts w:cs="Arial" w:ascii="Verdana" w:hAnsi="Verdana"/>
          <w:b w:val="false"/>
          <w:bCs w:val="false"/>
          <w:iCs/>
          <w:sz w:val="20"/>
          <w:szCs w:val="20"/>
          <w:u w:val="none"/>
        </w:rPr>
        <w:t>total.</w:t>
      </w:r>
    </w:p>
    <w:p>
      <w:pPr>
        <w:pStyle w:val="Normal"/>
        <w:spacing w:lineRule="auto" w:line="240"/>
        <w:ind w:left="0" w:right="0" w:hanging="0"/>
        <w:jc w:val="both"/>
        <w:rPr>
          <w:rFonts w:ascii="Verdana" w:hAnsi="Verdana"/>
          <w:sz w:val="20"/>
          <w:szCs w:val="20"/>
        </w:rPr>
      </w:pPr>
      <w:r>
        <w:rPr>
          <w:rFonts w:eastAsia="Times New Roman" w:cs="Times New Roman" w:ascii="Verdana" w:hAnsi="Verdana"/>
          <w:b w:val="false"/>
          <w:bCs w:val="false"/>
          <w:iCs/>
          <w:color w:val="000000"/>
          <w:sz w:val="20"/>
          <w:szCs w:val="20"/>
        </w:rPr>
        <w:t>11</w:t>
      </w:r>
      <w:r>
        <w:rPr>
          <w:rFonts w:ascii="Verdana" w:hAnsi="Verdana"/>
          <w:b w:val="false"/>
          <w:bCs w:val="false"/>
          <w:iCs/>
          <w:sz w:val="20"/>
          <w:szCs w:val="20"/>
        </w:rPr>
        <w:t>.1.4. Deixar de entregar a documentação exigida para o certame.</w:t>
      </w:r>
    </w:p>
    <w:p>
      <w:pPr>
        <w:pStyle w:val="Normal"/>
        <w:spacing w:lineRule="auto" w:line="240"/>
        <w:ind w:left="0" w:right="0" w:hanging="0"/>
        <w:jc w:val="both"/>
        <w:rPr>
          <w:rFonts w:ascii="Verdana" w:hAnsi="Verdana"/>
          <w:sz w:val="20"/>
          <w:szCs w:val="20"/>
        </w:rPr>
      </w:pPr>
      <w:r>
        <w:rPr>
          <w:rFonts w:eastAsia="Times New Roman" w:cs="Times New Roman" w:ascii="Verdana" w:hAnsi="Verdana"/>
          <w:b w:val="false"/>
          <w:bCs w:val="false"/>
          <w:iCs/>
          <w:color w:val="000000"/>
          <w:sz w:val="20"/>
          <w:szCs w:val="20"/>
        </w:rPr>
        <w:t>11</w:t>
      </w:r>
      <w:r>
        <w:rPr>
          <w:rFonts w:ascii="Verdana" w:hAnsi="Verdana"/>
          <w:b w:val="false"/>
          <w:bCs w:val="false"/>
          <w:iCs/>
          <w:sz w:val="20"/>
          <w:szCs w:val="20"/>
        </w:rPr>
        <w:t>.1.5. Não manter a proposta, salvo em decorrência de fato superveniente devidamente justificado.</w:t>
      </w:r>
    </w:p>
    <w:p>
      <w:pPr>
        <w:pStyle w:val="Normal"/>
        <w:spacing w:lineRule="auto" w:line="240"/>
        <w:ind w:left="0" w:right="0" w:hanging="0"/>
        <w:jc w:val="both"/>
        <w:rPr>
          <w:rFonts w:ascii="Verdana" w:hAnsi="Verdana"/>
          <w:sz w:val="20"/>
          <w:szCs w:val="20"/>
        </w:rPr>
      </w:pPr>
      <w:r>
        <w:rPr>
          <w:rFonts w:eastAsia="Times New Roman" w:cs="Times New Roman" w:ascii="Verdana" w:hAnsi="Verdana"/>
          <w:b w:val="false"/>
          <w:bCs w:val="false"/>
          <w:iCs/>
          <w:color w:val="000000"/>
          <w:sz w:val="20"/>
          <w:szCs w:val="20"/>
        </w:rPr>
        <w:t>11</w:t>
      </w:r>
      <w:r>
        <w:rPr>
          <w:rFonts w:ascii="Verdana" w:hAnsi="Verdana"/>
          <w:b w:val="false"/>
          <w:bCs w:val="false"/>
          <w:iCs/>
          <w:sz w:val="20"/>
          <w:szCs w:val="20"/>
        </w:rPr>
        <w:t xml:space="preserve">.1.6. Não celebrar o contrato ou não entregar a documentação exigida para a contratação, quando convocado dentro do prazo de validade de sua proposta. </w:t>
      </w:r>
    </w:p>
    <w:p>
      <w:pPr>
        <w:pStyle w:val="Normal"/>
        <w:spacing w:lineRule="auto" w:line="240"/>
        <w:ind w:left="0" w:right="0" w:hanging="0"/>
        <w:jc w:val="both"/>
        <w:rPr>
          <w:rFonts w:ascii="Verdana" w:hAnsi="Verdana"/>
          <w:sz w:val="20"/>
          <w:szCs w:val="20"/>
        </w:rPr>
      </w:pPr>
      <w:r>
        <w:rPr>
          <w:rFonts w:eastAsia="Times New Roman" w:cs="Times New Roman" w:ascii="Verdana" w:hAnsi="Verdana"/>
          <w:b w:val="false"/>
          <w:bCs w:val="false"/>
          <w:iCs/>
          <w:color w:val="000000"/>
          <w:sz w:val="20"/>
          <w:szCs w:val="20"/>
        </w:rPr>
        <w:t>11</w:t>
      </w:r>
      <w:r>
        <w:rPr>
          <w:rFonts w:ascii="Verdana" w:hAnsi="Verdana"/>
          <w:b w:val="false"/>
          <w:bCs w:val="false"/>
          <w:iCs/>
          <w:sz w:val="20"/>
          <w:szCs w:val="20"/>
        </w:rPr>
        <w:t>.1.7. Ensejar o retardamento da execução ou da entrega do objeto sem motivo justificado,</w:t>
      </w:r>
    </w:p>
    <w:p>
      <w:pPr>
        <w:pStyle w:val="Normal"/>
        <w:spacing w:lineRule="auto" w:line="240"/>
        <w:ind w:left="0" w:right="0" w:hanging="0"/>
        <w:jc w:val="both"/>
        <w:rPr>
          <w:rFonts w:ascii="Verdana" w:hAnsi="Verdana"/>
          <w:sz w:val="20"/>
          <w:szCs w:val="20"/>
        </w:rPr>
      </w:pPr>
      <w:r>
        <w:rPr>
          <w:rFonts w:eastAsia="Times New Roman" w:cs="Times New Roman" w:ascii="Verdana" w:hAnsi="Verdana"/>
          <w:b w:val="false"/>
          <w:bCs w:val="false"/>
          <w:iCs/>
          <w:color w:val="000000"/>
          <w:sz w:val="20"/>
          <w:szCs w:val="20"/>
        </w:rPr>
        <w:t>11</w:t>
      </w:r>
      <w:r>
        <w:rPr>
          <w:rFonts w:ascii="Verdana" w:hAnsi="Verdana"/>
          <w:b w:val="false"/>
          <w:bCs w:val="false"/>
          <w:iCs/>
          <w:sz w:val="20"/>
          <w:szCs w:val="20"/>
        </w:rPr>
        <w:t>.1.8. Apresentar declaração ou documentação falsa exigida para o certame ou prestar declaração falsa durante a dispensa eletrônica ou a execução do objeto.</w:t>
      </w:r>
    </w:p>
    <w:p>
      <w:pPr>
        <w:pStyle w:val="Normal"/>
        <w:spacing w:lineRule="auto" w:line="240"/>
        <w:ind w:left="0" w:right="0" w:hanging="0"/>
        <w:jc w:val="both"/>
        <w:rPr>
          <w:rFonts w:ascii="Verdana" w:hAnsi="Verdana"/>
          <w:sz w:val="20"/>
          <w:szCs w:val="20"/>
        </w:rPr>
      </w:pPr>
      <w:r>
        <w:rPr>
          <w:rFonts w:ascii="Verdana" w:hAnsi="Verdana"/>
          <w:b w:val="false"/>
          <w:bCs w:val="false"/>
          <w:iCs/>
          <w:sz w:val="20"/>
          <w:szCs w:val="20"/>
        </w:rPr>
        <w:t>11.1.9. Fraudar a dispensa eletrônica ou praticar ato fraudulento na execução do objeto.</w:t>
      </w:r>
    </w:p>
    <w:p>
      <w:pPr>
        <w:pStyle w:val="Normal"/>
        <w:spacing w:lineRule="auto" w:line="240"/>
        <w:ind w:left="0" w:right="0" w:hanging="0"/>
        <w:jc w:val="both"/>
        <w:rPr>
          <w:rFonts w:ascii="Verdana" w:hAnsi="Verdana"/>
          <w:sz w:val="20"/>
          <w:szCs w:val="20"/>
        </w:rPr>
      </w:pPr>
      <w:r>
        <w:rPr>
          <w:rFonts w:eastAsia="Times New Roman" w:cs="Times New Roman" w:ascii="Verdana" w:hAnsi="Verdana"/>
          <w:b w:val="false"/>
          <w:bCs w:val="false"/>
          <w:iCs/>
          <w:color w:val="000000"/>
          <w:sz w:val="20"/>
          <w:szCs w:val="20"/>
        </w:rPr>
        <w:t>11</w:t>
      </w:r>
      <w:r>
        <w:rPr>
          <w:rFonts w:ascii="Verdana" w:hAnsi="Verdana"/>
          <w:b w:val="false"/>
          <w:bCs w:val="false"/>
          <w:iCs/>
          <w:sz w:val="20"/>
          <w:szCs w:val="20"/>
        </w:rPr>
        <w:t>.1.10. Comportar-se de modo inidôneo ou cometer fraude de qualquer natureza.</w:t>
      </w:r>
    </w:p>
    <w:p>
      <w:pPr>
        <w:pStyle w:val="Normal"/>
        <w:spacing w:lineRule="auto" w:line="240"/>
        <w:ind w:left="0" w:right="0" w:hanging="0"/>
        <w:jc w:val="both"/>
        <w:rPr>
          <w:rFonts w:ascii="Verdana" w:hAnsi="Verdana"/>
          <w:sz w:val="20"/>
          <w:szCs w:val="20"/>
        </w:rPr>
      </w:pPr>
      <w:r>
        <w:rPr>
          <w:rFonts w:eastAsia="Times New Roman" w:cs="Times New Roman" w:ascii="Verdana" w:hAnsi="Verdana"/>
          <w:b w:val="false"/>
          <w:bCs w:val="false"/>
          <w:iCs/>
          <w:color w:val="000000"/>
          <w:sz w:val="20"/>
          <w:szCs w:val="20"/>
        </w:rPr>
        <w:t>11</w:t>
      </w:r>
      <w:r>
        <w:rPr>
          <w:rFonts w:ascii="Verdana" w:hAnsi="Verdana"/>
          <w:b w:val="false"/>
          <w:bCs w:val="false"/>
          <w:iCs/>
          <w:sz w:val="20"/>
          <w:szCs w:val="20"/>
        </w:rPr>
        <w:t>.1.10.1. Considera-se comportamento inidôneo, entre outros, a declaração falsa quanto às condições de participação, quanto ao enquadramento como ME/EPP ou o conluio entre os fornecedores, em qualquer momento da dispensa, mesmo após o encerramento da fase de lances.</w:t>
      </w:r>
    </w:p>
    <w:p>
      <w:pPr>
        <w:pStyle w:val="Normal"/>
        <w:spacing w:lineRule="auto" w:line="240"/>
        <w:ind w:left="0" w:right="0" w:hanging="0"/>
        <w:jc w:val="both"/>
        <w:rPr>
          <w:rFonts w:ascii="Verdana" w:hAnsi="Verdana"/>
          <w:sz w:val="20"/>
          <w:szCs w:val="20"/>
        </w:rPr>
      </w:pPr>
      <w:r>
        <w:rPr>
          <w:rFonts w:eastAsia="Times New Roman" w:cs="Times New Roman" w:ascii="Verdana" w:hAnsi="Verdana"/>
          <w:b w:val="false"/>
          <w:bCs w:val="false"/>
          <w:iCs/>
          <w:color w:val="000000"/>
          <w:sz w:val="20"/>
          <w:szCs w:val="20"/>
        </w:rPr>
        <w:t>11</w:t>
      </w:r>
      <w:r>
        <w:rPr>
          <w:rFonts w:ascii="Verdana" w:hAnsi="Verdana"/>
          <w:b w:val="false"/>
          <w:bCs w:val="false"/>
          <w:iCs/>
          <w:sz w:val="20"/>
          <w:szCs w:val="20"/>
        </w:rPr>
        <w:t>.1.11. Praticar atos ilícitos com vistas a frustrar os objetivos deste certame.</w:t>
      </w:r>
    </w:p>
    <w:p>
      <w:pPr>
        <w:pStyle w:val="Normal"/>
        <w:spacing w:lineRule="auto" w:line="240"/>
        <w:ind w:left="0" w:right="0" w:hanging="0"/>
        <w:jc w:val="both"/>
        <w:rPr>
          <w:rFonts w:ascii="Verdana" w:hAnsi="Verdana"/>
          <w:sz w:val="20"/>
          <w:szCs w:val="20"/>
        </w:rPr>
      </w:pPr>
      <w:r>
        <w:rPr>
          <w:rFonts w:eastAsia="Times New Roman" w:cs="Times New Roman" w:ascii="Verdana" w:hAnsi="Verdana"/>
          <w:b w:val="false"/>
          <w:bCs w:val="false"/>
          <w:iCs/>
          <w:color w:val="000000"/>
          <w:sz w:val="20"/>
          <w:szCs w:val="20"/>
        </w:rPr>
        <w:t>11</w:t>
      </w:r>
      <w:r>
        <w:rPr>
          <w:rFonts w:ascii="Verdana" w:hAnsi="Verdana"/>
          <w:b w:val="false"/>
          <w:bCs w:val="false"/>
          <w:iCs/>
          <w:sz w:val="20"/>
          <w:szCs w:val="20"/>
        </w:rPr>
        <w:t>.1.12. Praticar ato lesivo previsto no art. 5º da Lei nº 12.846, de 1º de agosto de 2013.</w:t>
      </w:r>
    </w:p>
    <w:p>
      <w:pPr>
        <w:pStyle w:val="Normal"/>
        <w:spacing w:lineRule="auto" w:line="240"/>
        <w:ind w:left="0" w:right="0" w:hanging="0"/>
        <w:jc w:val="both"/>
        <w:rPr>
          <w:rFonts w:ascii="Verdana" w:hAnsi="Verdana"/>
          <w:sz w:val="20"/>
          <w:szCs w:val="20"/>
        </w:rPr>
      </w:pPr>
      <w:r>
        <w:rPr>
          <w:rFonts w:eastAsia="Times New Roman" w:cs="Times New Roman" w:ascii="Verdana" w:hAnsi="Verdana"/>
          <w:b w:val="false"/>
          <w:bCs w:val="false"/>
          <w:iCs/>
          <w:color w:val="000000"/>
          <w:sz w:val="20"/>
          <w:szCs w:val="20"/>
        </w:rPr>
        <w:t>11.1.13.</w:t>
      </w:r>
      <w:r>
        <w:rPr>
          <w:rFonts w:ascii="Verdana" w:hAnsi="Verdana"/>
          <w:b w:val="false"/>
          <w:bCs w:val="false"/>
          <w:iCs/>
          <w:sz w:val="20"/>
          <w:szCs w:val="20"/>
        </w:rPr>
        <w:t xml:space="preserve"> O fornecedor que cometer qualquer das infrações discriminadas nos subitens anteriores fica</w:t>
      </w:r>
      <w:r>
        <w:rPr>
          <w:rFonts w:ascii="Verdana" w:hAnsi="Verdana"/>
          <w:iCs/>
          <w:sz w:val="20"/>
          <w:szCs w:val="20"/>
        </w:rPr>
        <w:t>rá sujeito, sem prejuízo da responsabilidade civil e criminal, às seguintes sanções:</w:t>
      </w:r>
    </w:p>
    <w:p>
      <w:pPr>
        <w:pStyle w:val="Normal"/>
        <w:spacing w:lineRule="auto" w:line="240"/>
        <w:ind w:left="0" w:right="0" w:hanging="0"/>
        <w:jc w:val="both"/>
        <w:rPr>
          <w:rFonts w:ascii="Verdana" w:hAnsi="Verdana"/>
          <w:sz w:val="20"/>
          <w:szCs w:val="20"/>
        </w:rPr>
      </w:pPr>
      <w:r>
        <w:rPr>
          <w:rFonts w:ascii="Verdana" w:hAnsi="Verdana"/>
          <w:iCs/>
          <w:sz w:val="20"/>
          <w:szCs w:val="20"/>
        </w:rPr>
        <w:t xml:space="preserve">         </w:t>
      </w:r>
      <w:r>
        <w:rPr>
          <w:rFonts w:ascii="Verdana" w:hAnsi="Verdana"/>
          <w:iCs/>
          <w:sz w:val="20"/>
          <w:szCs w:val="20"/>
        </w:rPr>
        <w:t>a) Advertência pela falta do subitem 11.1.1 deste Termo de Referência, quando não se justificar a imposição de penalidade mais grave.</w:t>
      </w:r>
    </w:p>
    <w:p>
      <w:pPr>
        <w:pStyle w:val="Normal"/>
        <w:spacing w:lineRule="auto" w:line="240"/>
        <w:ind w:left="-57" w:right="0" w:hanging="0"/>
        <w:jc w:val="both"/>
        <w:rPr>
          <w:rFonts w:ascii="Verdana" w:hAnsi="Verdana"/>
          <w:sz w:val="20"/>
          <w:szCs w:val="20"/>
        </w:rPr>
      </w:pPr>
      <w:r>
        <w:rPr>
          <w:rFonts w:ascii="Verdana" w:hAnsi="Verdana"/>
          <w:iCs/>
          <w:sz w:val="20"/>
          <w:szCs w:val="20"/>
        </w:rPr>
        <w:t xml:space="preserve">            </w:t>
      </w:r>
      <w:r>
        <w:rPr>
          <w:rFonts w:ascii="Verdana" w:hAnsi="Verdana"/>
          <w:iCs/>
          <w:sz w:val="20"/>
          <w:szCs w:val="20"/>
        </w:rPr>
        <w:t xml:space="preserve">b) Multa, calculada na forma do edital, com base no total do valor da contratação realizada de forma direta e será aplicada ao responsável por qualquer das infrações administrativas previstas no item 11.1 deste Termo de Referência, no percentual de 10% (dez por cento), na hipótese de cometimento das infrações previstas nos itens 11.1.1 a </w:t>
      </w:r>
      <w:r>
        <w:rPr>
          <w:rFonts w:eastAsia="Times New Roman" w:cs="Times New Roman" w:ascii="Verdana" w:hAnsi="Verdana"/>
          <w:iCs/>
          <w:color w:val="000000"/>
          <w:sz w:val="20"/>
          <w:szCs w:val="20"/>
        </w:rPr>
        <w:t>11</w:t>
      </w:r>
      <w:r>
        <w:rPr>
          <w:rFonts w:ascii="Verdana" w:hAnsi="Verdana"/>
          <w:iCs/>
          <w:sz w:val="20"/>
          <w:szCs w:val="20"/>
        </w:rPr>
        <w:t xml:space="preserve">.1.7 e 20% (vinte por cento), se cometidas infrações previstas nos itens 11.1.8 a 11.1.12; </w:t>
      </w:r>
    </w:p>
    <w:p>
      <w:pPr>
        <w:pStyle w:val="Normal"/>
        <w:spacing w:lineRule="auto" w:line="240"/>
        <w:ind w:left="-57" w:right="0" w:hanging="0"/>
        <w:jc w:val="both"/>
        <w:rPr>
          <w:rFonts w:ascii="Verdana" w:hAnsi="Verdana"/>
          <w:sz w:val="20"/>
          <w:szCs w:val="20"/>
        </w:rPr>
      </w:pPr>
      <w:r>
        <w:rPr>
          <w:rFonts w:ascii="Verdana" w:hAnsi="Verdana"/>
          <w:iCs/>
          <w:sz w:val="20"/>
          <w:szCs w:val="20"/>
        </w:rPr>
        <w:tab/>
        <w:tab/>
        <w:t xml:space="preserve"> b.1) O valor da multa poderá ser descontado das faturas devidas à CONTRATADA;</w:t>
      </w:r>
    </w:p>
    <w:p>
      <w:pPr>
        <w:pStyle w:val="Normal"/>
        <w:spacing w:lineRule="auto" w:line="240"/>
        <w:ind w:left="0" w:right="0" w:hanging="0"/>
        <w:jc w:val="both"/>
        <w:rPr>
          <w:rFonts w:ascii="Verdana" w:hAnsi="Verdana"/>
          <w:sz w:val="20"/>
          <w:szCs w:val="20"/>
        </w:rPr>
      </w:pPr>
      <w:r>
        <w:rPr>
          <w:rFonts w:ascii="Verdana" w:hAnsi="Verdana"/>
          <w:iCs/>
          <w:sz w:val="20"/>
          <w:szCs w:val="20"/>
        </w:rPr>
        <w:t xml:space="preserve">           </w:t>
      </w:r>
      <w:r>
        <w:rPr>
          <w:rFonts w:ascii="Verdana" w:hAnsi="Verdana"/>
          <w:iCs/>
          <w:sz w:val="20"/>
          <w:szCs w:val="20"/>
        </w:rPr>
        <w:t xml:space="preserve">b.2) A multa pode ser aplicada isoladamente ou juntamente com as penalidades definidas nos itens “c” e “d” abaixo: </w:t>
      </w:r>
    </w:p>
    <w:p>
      <w:pPr>
        <w:pStyle w:val="Normal"/>
        <w:spacing w:lineRule="auto" w:line="240"/>
        <w:ind w:left="0" w:right="0" w:hanging="0"/>
        <w:jc w:val="both"/>
        <w:rPr>
          <w:rFonts w:ascii="Verdana" w:hAnsi="Verdana"/>
          <w:sz w:val="20"/>
          <w:szCs w:val="20"/>
        </w:rPr>
      </w:pPr>
      <w:r>
        <w:rPr>
          <w:rFonts w:ascii="Verdana" w:hAnsi="Verdana"/>
          <w:iCs/>
          <w:sz w:val="20"/>
          <w:szCs w:val="20"/>
        </w:rPr>
        <w:t xml:space="preserve">       </w:t>
      </w:r>
      <w:r>
        <w:rPr>
          <w:rFonts w:ascii="Verdana" w:hAnsi="Verdana"/>
          <w:iCs/>
          <w:sz w:val="20"/>
          <w:szCs w:val="20"/>
        </w:rPr>
        <w:t>c) Impedimento de licitar e contratar no âmbito da Administração Pública direta e indireta do ente federativo que tiver aplicado a sanção, pelo prazo máximo de 03 (três) anos, nos casos dos subitens 11.1.2 a 11.1.7 deste Termo de Referência, quando não se justificar a imposição de penalidade mais grave.</w:t>
      </w:r>
    </w:p>
    <w:p>
      <w:pPr>
        <w:pStyle w:val="Normal"/>
        <w:spacing w:lineRule="auto" w:line="240"/>
        <w:ind w:left="0" w:right="0" w:hanging="0"/>
        <w:jc w:val="both"/>
        <w:rPr>
          <w:rFonts w:ascii="Verdana" w:hAnsi="Verdana"/>
          <w:sz w:val="20"/>
          <w:szCs w:val="20"/>
        </w:rPr>
      </w:pPr>
      <w:r>
        <w:rPr>
          <w:rFonts w:ascii="Verdana" w:hAnsi="Verdana"/>
          <w:iCs/>
          <w:sz w:val="20"/>
          <w:szCs w:val="20"/>
        </w:rPr>
        <w:t xml:space="preserve">        </w:t>
      </w:r>
      <w:r>
        <w:rPr>
          <w:rFonts w:ascii="Verdana" w:hAnsi="Verdana"/>
          <w:iCs/>
          <w:sz w:val="20"/>
          <w:szCs w:val="20"/>
        </w:rPr>
        <w:t>d) Declaração de inidoneidade para licitar ou contratar, que impedirá o responsável de licitar ou contratar no âmbito da Administração Pública direta e indireta de todos os entes federativos, pelo prazo mínimo de 03 (três) anos e máximo de 06 (seis) anos, nos casos dos subitens 11.1.2 a 11.1.12, deste Termo de Referência.</w:t>
      </w:r>
    </w:p>
    <w:p>
      <w:pPr>
        <w:pStyle w:val="Normal"/>
        <w:spacing w:lineRule="auto" w:line="240"/>
        <w:ind w:left="0" w:right="0" w:hanging="0"/>
        <w:jc w:val="both"/>
        <w:rPr>
          <w:rFonts w:ascii="Verdana" w:hAnsi="Verdana"/>
          <w:sz w:val="20"/>
          <w:szCs w:val="20"/>
        </w:rPr>
      </w:pPr>
      <w:r>
        <w:rPr>
          <w:rFonts w:eastAsia="Times New Roman" w:cs="Times New Roman" w:ascii="Verdana" w:hAnsi="Verdana"/>
          <w:b w:val="false"/>
          <w:bCs w:val="false"/>
          <w:iCs/>
          <w:color w:val="000000"/>
          <w:sz w:val="20"/>
          <w:szCs w:val="20"/>
        </w:rPr>
        <w:t>11</w:t>
      </w:r>
      <w:r>
        <w:rPr>
          <w:rFonts w:ascii="Verdana" w:hAnsi="Verdana"/>
          <w:b w:val="false"/>
          <w:bCs w:val="false"/>
          <w:iCs/>
          <w:sz w:val="20"/>
          <w:szCs w:val="20"/>
        </w:rPr>
        <w:t>.3. Na aplicação das sanções serão considerados:</w:t>
      </w:r>
    </w:p>
    <w:p>
      <w:pPr>
        <w:pStyle w:val="Normal"/>
        <w:spacing w:lineRule="auto" w:line="240"/>
        <w:ind w:left="0" w:right="0" w:hanging="0"/>
        <w:jc w:val="both"/>
        <w:rPr>
          <w:rFonts w:ascii="Verdana" w:hAnsi="Verdana"/>
          <w:sz w:val="20"/>
          <w:szCs w:val="20"/>
        </w:rPr>
      </w:pPr>
      <w:r>
        <w:rPr>
          <w:rFonts w:eastAsia="Times New Roman" w:cs="Times New Roman" w:ascii="Verdana" w:hAnsi="Verdana"/>
          <w:b w:val="false"/>
          <w:bCs w:val="false"/>
          <w:iCs/>
          <w:color w:val="000000"/>
          <w:sz w:val="20"/>
          <w:szCs w:val="20"/>
        </w:rPr>
        <w:t>11</w:t>
      </w:r>
      <w:r>
        <w:rPr>
          <w:rFonts w:ascii="Verdana" w:hAnsi="Verdana"/>
          <w:b w:val="false"/>
          <w:bCs w:val="false"/>
          <w:iCs/>
          <w:sz w:val="20"/>
          <w:szCs w:val="20"/>
        </w:rPr>
        <w:t>.3.1. A natureza e a gravidade da infração cometida.</w:t>
      </w:r>
    </w:p>
    <w:p>
      <w:pPr>
        <w:pStyle w:val="Normal"/>
        <w:spacing w:lineRule="auto" w:line="240"/>
        <w:ind w:left="0" w:right="0" w:hanging="0"/>
        <w:jc w:val="both"/>
        <w:rPr>
          <w:rFonts w:ascii="Verdana" w:hAnsi="Verdana"/>
          <w:sz w:val="20"/>
          <w:szCs w:val="20"/>
        </w:rPr>
      </w:pPr>
      <w:r>
        <w:rPr>
          <w:rFonts w:ascii="Verdana" w:hAnsi="Verdana"/>
          <w:b w:val="false"/>
          <w:bCs w:val="false"/>
          <w:iCs/>
          <w:sz w:val="20"/>
          <w:szCs w:val="20"/>
        </w:rPr>
        <w:t>11.3.2. As peculiaridades do caso concreto.</w:t>
      </w:r>
    </w:p>
    <w:p>
      <w:pPr>
        <w:pStyle w:val="Normal"/>
        <w:spacing w:lineRule="auto" w:line="240"/>
        <w:ind w:left="0" w:right="0" w:hanging="0"/>
        <w:jc w:val="both"/>
        <w:rPr>
          <w:rFonts w:ascii="Verdana" w:hAnsi="Verdana"/>
          <w:sz w:val="20"/>
          <w:szCs w:val="20"/>
        </w:rPr>
      </w:pPr>
      <w:r>
        <w:rPr>
          <w:rFonts w:ascii="Verdana" w:hAnsi="Verdana"/>
          <w:b w:val="false"/>
          <w:bCs w:val="false"/>
          <w:iCs/>
          <w:sz w:val="20"/>
          <w:szCs w:val="20"/>
        </w:rPr>
        <w:t>11.3.3. As circunstâncias agravantes ou atenuantes.</w:t>
      </w:r>
    </w:p>
    <w:p>
      <w:pPr>
        <w:pStyle w:val="Normal"/>
        <w:spacing w:lineRule="auto" w:line="240"/>
        <w:ind w:left="0" w:right="0" w:hanging="0"/>
        <w:jc w:val="both"/>
        <w:rPr>
          <w:rFonts w:ascii="Verdana" w:hAnsi="Verdana"/>
          <w:sz w:val="20"/>
          <w:szCs w:val="20"/>
        </w:rPr>
      </w:pPr>
      <w:r>
        <w:rPr>
          <w:rFonts w:ascii="Verdana" w:hAnsi="Verdana"/>
          <w:b w:val="false"/>
          <w:bCs w:val="false"/>
          <w:iCs/>
          <w:sz w:val="20"/>
          <w:szCs w:val="20"/>
        </w:rPr>
        <w:t>11.3.4. Os danos que dela provierem para a Administração Pública.</w:t>
      </w:r>
    </w:p>
    <w:p>
      <w:pPr>
        <w:pStyle w:val="Normal"/>
        <w:spacing w:lineRule="auto" w:line="240"/>
        <w:ind w:left="0" w:right="0" w:hanging="0"/>
        <w:jc w:val="both"/>
        <w:rPr>
          <w:rFonts w:ascii="Verdana" w:hAnsi="Verdana"/>
          <w:sz w:val="20"/>
          <w:szCs w:val="20"/>
        </w:rPr>
      </w:pPr>
      <w:r>
        <w:rPr>
          <w:rFonts w:eastAsia="Times New Roman" w:cs="Times New Roman" w:ascii="Verdana" w:hAnsi="Verdana"/>
          <w:b w:val="false"/>
          <w:bCs w:val="false"/>
          <w:iCs/>
          <w:color w:val="000000"/>
          <w:sz w:val="20"/>
          <w:szCs w:val="20"/>
        </w:rPr>
        <w:t>11</w:t>
      </w:r>
      <w:r>
        <w:rPr>
          <w:rFonts w:ascii="Verdana" w:hAnsi="Verdana"/>
          <w:b w:val="false"/>
          <w:bCs w:val="false"/>
          <w:iCs/>
          <w:sz w:val="20"/>
          <w:szCs w:val="20"/>
        </w:rPr>
        <w:t>.3.5. A implantação ou o aperfeiçoamento de programa de integridade, conforme normas e orientações dos órgãos de controle.</w:t>
      </w:r>
    </w:p>
    <w:p>
      <w:pPr>
        <w:pStyle w:val="Normal"/>
        <w:spacing w:lineRule="auto" w:line="240"/>
        <w:ind w:left="0" w:right="0" w:hanging="0"/>
        <w:jc w:val="both"/>
        <w:rPr>
          <w:rFonts w:ascii="Verdana" w:hAnsi="Verdana"/>
          <w:sz w:val="20"/>
          <w:szCs w:val="20"/>
        </w:rPr>
      </w:pPr>
      <w:r>
        <w:rPr>
          <w:rFonts w:ascii="Verdana" w:hAnsi="Verdana"/>
          <w:b w:val="false"/>
          <w:bCs w:val="false"/>
          <w:iCs/>
          <w:sz w:val="20"/>
          <w:szCs w:val="20"/>
        </w:rPr>
        <w:t>11.4. Se a multa aplicada e as indenizações cabíveis forem superiores ao valor de pagamento eventualmente devido pela Administração à CONTRATADA, além da perda desse valor, a diferença será descontada da garantia prestada ou será cobrada judicialmente.</w:t>
      </w:r>
    </w:p>
    <w:p>
      <w:pPr>
        <w:pStyle w:val="Normal"/>
        <w:spacing w:lineRule="auto" w:line="240"/>
        <w:ind w:left="0" w:right="0" w:hanging="0"/>
        <w:jc w:val="both"/>
        <w:rPr>
          <w:rFonts w:ascii="Verdana" w:hAnsi="Verdana"/>
          <w:sz w:val="20"/>
          <w:szCs w:val="20"/>
        </w:rPr>
      </w:pPr>
      <w:r>
        <w:rPr>
          <w:rFonts w:ascii="Verdana" w:hAnsi="Verdana"/>
          <w:b w:val="false"/>
          <w:bCs w:val="false"/>
          <w:iCs/>
          <w:sz w:val="20"/>
          <w:szCs w:val="20"/>
          <w:lang w:eastAsia="en-US"/>
        </w:rPr>
        <w:t xml:space="preserve">11.5. </w:t>
      </w:r>
      <w:r>
        <w:rPr>
          <w:rFonts w:ascii="Verdana" w:hAnsi="Verdana"/>
          <w:iCs/>
          <w:sz w:val="20"/>
          <w:szCs w:val="20"/>
          <w:lang w:eastAsia="en-US"/>
        </w:rPr>
        <w:t>A aplicação de qualquer das penalidades previstas realizar-se-á em processo administrativo que assegurará o contraditório e a ampla defesa ao fornecedor/adjudicatário, observando-se o rito procedimental previsto no Capítulo I do Título IV da Lei 14.133/2021 – Das Infrações e Sanções Administrativas.</w:t>
      </w:r>
    </w:p>
    <w:p>
      <w:pPr>
        <w:pStyle w:val="Normal"/>
        <w:spacing w:lineRule="auto" w:line="240"/>
        <w:ind w:left="-79" w:right="0" w:hanging="0"/>
        <w:jc w:val="both"/>
        <w:rPr>
          <w:rFonts w:ascii="Verdana" w:hAnsi="Verdana" w:cs="Arial"/>
          <w:b/>
          <w:sz w:val="20"/>
          <w:szCs w:val="20"/>
          <w:u w:val="single"/>
        </w:rPr>
      </w:pPr>
      <w:r>
        <w:rPr>
          <w:rFonts w:cs="Arial" w:ascii="Verdana" w:hAnsi="Verdana"/>
          <w:b/>
          <w:sz w:val="20"/>
          <w:szCs w:val="20"/>
          <w:u w:val="single"/>
        </w:rPr>
      </w:r>
    </w:p>
    <w:p>
      <w:pPr>
        <w:pStyle w:val="Normal"/>
        <w:spacing w:lineRule="auto" w:line="240"/>
        <w:ind w:left="-79" w:right="0" w:hanging="0"/>
        <w:jc w:val="both"/>
        <w:rPr>
          <w:rFonts w:ascii="Verdana" w:hAnsi="Verdana"/>
          <w:sz w:val="20"/>
          <w:szCs w:val="20"/>
        </w:rPr>
      </w:pPr>
      <w:r>
        <w:rPr>
          <w:rFonts w:ascii="Verdana" w:hAnsi="Verdana"/>
          <w:b/>
          <w:bCs/>
          <w:sz w:val="20"/>
          <w:szCs w:val="20"/>
          <w:lang w:eastAsia="en-US"/>
        </w:rPr>
        <w:t>12. DA HABILITAÇÃO</w:t>
      </w:r>
    </w:p>
    <w:p>
      <w:pPr>
        <w:pStyle w:val="Nivel011"/>
        <w:tabs>
          <w:tab w:val="left" w:pos="517" w:leader="none"/>
          <w:tab w:val="left" w:pos="567" w:leader="none"/>
          <w:tab w:val="left" w:pos="683" w:leader="none"/>
        </w:tabs>
        <w:spacing w:lineRule="auto" w:line="240" w:before="57" w:after="57"/>
        <w:ind w:left="-57" w:right="0" w:hanging="0"/>
        <w:rPr>
          <w:rFonts w:ascii="Verdana" w:hAnsi="Verdana"/>
          <w:sz w:val="20"/>
          <w:szCs w:val="20"/>
        </w:rPr>
      </w:pPr>
      <w:r>
        <w:rPr>
          <w:rFonts w:cs="Verdana" w:ascii="Verdana" w:hAnsi="Verdana"/>
          <w:b w:val="false"/>
          <w:bCs w:val="false"/>
          <w:sz w:val="20"/>
          <w:szCs w:val="20"/>
          <w:lang w:eastAsia="ar-SA"/>
        </w:rPr>
        <w:t>12.1. Como condição prévia ao exame da documentação de habilitação do licitante detentor da proposta classificada em primeiro lugar, o agente de contratação verificará o eventual descumprimento das condições de participação, especialmente quanto à existência de sanção que impeça a participação no certame ou a futura contratação, mediante a consulta aos seguintes cadastros:</w:t>
      </w:r>
    </w:p>
    <w:p>
      <w:pPr>
        <w:pStyle w:val="ListParagraph"/>
        <w:spacing w:lineRule="auto" w:line="240" w:before="57" w:after="57"/>
        <w:ind w:left="0" w:right="0" w:hanging="0"/>
        <w:contextualSpacing/>
        <w:jc w:val="both"/>
        <w:rPr>
          <w:rFonts w:ascii="Verdana" w:hAnsi="Verdana"/>
          <w:sz w:val="20"/>
          <w:szCs w:val="20"/>
        </w:rPr>
      </w:pPr>
      <w:r>
        <w:rPr>
          <w:rFonts w:cs="Verdana" w:ascii="Verdana" w:hAnsi="Verdana"/>
          <w:b w:val="false"/>
          <w:bCs w:val="false"/>
          <w:sz w:val="20"/>
          <w:szCs w:val="20"/>
          <w:lang w:eastAsia="ar-SA"/>
        </w:rPr>
        <w:t>a) SICAF;</w:t>
      </w:r>
    </w:p>
    <w:p>
      <w:pPr>
        <w:pStyle w:val="ListParagraph"/>
        <w:spacing w:lineRule="auto" w:line="240" w:before="57" w:after="57"/>
        <w:ind w:left="0" w:right="0" w:hanging="0"/>
        <w:contextualSpacing/>
        <w:jc w:val="both"/>
        <w:rPr/>
      </w:pPr>
      <w:r>
        <w:rPr>
          <w:rFonts w:cs="Verdana" w:ascii="Verdana" w:hAnsi="Verdana"/>
          <w:b w:val="false"/>
          <w:bCs w:val="false"/>
          <w:sz w:val="20"/>
          <w:szCs w:val="20"/>
          <w:lang w:eastAsia="ar-SA"/>
        </w:rPr>
        <w:t>b) Cadastro Nacional de Empresas Inidôneas e Suspensas – CEIS, mantido pela Controladoria-Geral da União (</w:t>
      </w:r>
      <w:hyperlink r:id="rId3">
        <w:r>
          <w:rPr>
            <w:rFonts w:cs="Verdana" w:ascii="Verdana" w:hAnsi="Verdana"/>
            <w:b w:val="false"/>
            <w:bCs w:val="false"/>
            <w:color w:val="000080"/>
            <w:sz w:val="20"/>
            <w:szCs w:val="20"/>
            <w:u w:val="single"/>
            <w:lang w:eastAsia="ar-SA"/>
          </w:rPr>
          <w:t>www.portaldatransparencia.gov.br/ceis</w:t>
        </w:r>
      </w:hyperlink>
      <w:r>
        <w:rPr>
          <w:rFonts w:cs="Verdana" w:ascii="Verdana" w:hAnsi="Verdana"/>
          <w:b w:val="false"/>
          <w:bCs w:val="false"/>
          <w:sz w:val="20"/>
          <w:szCs w:val="20"/>
          <w:lang w:eastAsia="ar-SA"/>
        </w:rPr>
        <w:t>);</w:t>
      </w:r>
    </w:p>
    <w:p>
      <w:pPr>
        <w:pStyle w:val="ListParagraph"/>
        <w:spacing w:lineRule="auto" w:line="240" w:before="57" w:after="57"/>
        <w:ind w:left="0" w:right="0" w:hanging="0"/>
        <w:contextualSpacing/>
        <w:jc w:val="both"/>
        <w:rPr/>
      </w:pPr>
      <w:r>
        <w:rPr>
          <w:rFonts w:cs="Verdana" w:ascii="Verdana" w:hAnsi="Verdana"/>
          <w:b w:val="false"/>
          <w:bCs w:val="false"/>
          <w:sz w:val="20"/>
          <w:szCs w:val="20"/>
          <w:lang w:eastAsia="ar-SA"/>
        </w:rPr>
        <w:t>c) Cadastro Nacional de Condenações Cíveis por Atos de Improbidade Administrativa, mantido pelo Conselho Nacional de Justiça (</w:t>
      </w:r>
      <w:hyperlink r:id="rId4">
        <w:r>
          <w:rPr>
            <w:rFonts w:cs="Verdana" w:ascii="Verdana" w:hAnsi="Verdana"/>
            <w:b w:val="false"/>
            <w:bCs w:val="false"/>
            <w:color w:val="000080"/>
            <w:sz w:val="20"/>
            <w:szCs w:val="20"/>
            <w:u w:val="single"/>
            <w:lang w:eastAsia="ar-SA"/>
          </w:rPr>
          <w:t>www.cnj.jus.br/improbidade_adm/consultar_requerido.php</w:t>
        </w:r>
      </w:hyperlink>
      <w:r>
        <w:rPr>
          <w:rFonts w:cs="Verdana" w:ascii="Verdana" w:hAnsi="Verdana"/>
          <w:b w:val="false"/>
          <w:bCs w:val="false"/>
          <w:sz w:val="20"/>
          <w:szCs w:val="20"/>
          <w:lang w:eastAsia="ar-SA"/>
        </w:rPr>
        <w:t>).</w:t>
      </w:r>
    </w:p>
    <w:p>
      <w:pPr>
        <w:pStyle w:val="ListParagraph"/>
        <w:spacing w:lineRule="auto" w:line="240" w:before="57" w:after="57"/>
        <w:ind w:left="0" w:right="0" w:hanging="0"/>
        <w:contextualSpacing/>
        <w:jc w:val="both"/>
        <w:rPr>
          <w:rFonts w:ascii="Verdana" w:hAnsi="Verdana"/>
          <w:sz w:val="20"/>
          <w:szCs w:val="20"/>
        </w:rPr>
      </w:pPr>
      <w:r>
        <w:rPr>
          <w:rFonts w:cs="Verdana" w:ascii="Verdana" w:hAnsi="Verdana"/>
          <w:b w:val="false"/>
          <w:bCs w:val="false"/>
          <w:sz w:val="20"/>
          <w:szCs w:val="20"/>
          <w:lang w:eastAsia="ar-SA"/>
        </w:rPr>
        <w:t>d) Cadastro de Inidôneos e o Cadastro Integrado de Condenações por Ilícitos Administrativos – CADICON, mantidos pelo Tribunal de Contas da União – TCU;</w:t>
      </w:r>
    </w:p>
    <w:p>
      <w:pPr>
        <w:pStyle w:val="Normal"/>
        <w:spacing w:lineRule="auto" w:line="240" w:before="57" w:after="57"/>
        <w:jc w:val="both"/>
        <w:rPr/>
      </w:pPr>
      <w:r>
        <w:rPr>
          <w:rFonts w:cs="Verdana" w:ascii="Verdana" w:hAnsi="Verdana"/>
          <w:b w:val="false"/>
          <w:bCs w:val="false"/>
          <w:sz w:val="20"/>
          <w:szCs w:val="20"/>
          <w:lang w:eastAsia="ar-SA"/>
        </w:rPr>
        <w:t>e) Cadastro de empresas inid</w:t>
      </w:r>
      <w:r>
        <w:rPr>
          <w:rFonts w:cs="Verdana" w:ascii="Verdana" w:hAnsi="Verdana"/>
          <w:b w:val="false"/>
          <w:bCs w:val="false"/>
          <w:sz w:val="20"/>
          <w:szCs w:val="20"/>
        </w:rPr>
        <w:t>ôneas, mantido pelo Tribunal de Contas do Estado do Espírito Santo –TCE/ES(https://www.tcees.tc.br/portal-da-transparencia/consultas/lista-de-responsaveis/empresas-inidoneas/) e proibidas de contratar com o Poder Público estadual ou municipal(</w:t>
      </w:r>
      <w:hyperlink r:id="rId5">
        <w:r>
          <w:rPr>
            <w:rFonts w:cs="Verdana" w:ascii="Verdana" w:hAnsi="Verdana"/>
            <w:b w:val="false"/>
            <w:bCs w:val="false"/>
            <w:color w:val="000080"/>
            <w:sz w:val="20"/>
            <w:szCs w:val="20"/>
            <w:u w:val="single"/>
          </w:rPr>
          <w:t>https://www.tcees.tc.br/portal-da-transparencia/consultas/lista-de</w:t>
        </w:r>
      </w:hyperlink>
      <w:r>
        <w:rPr>
          <w:rFonts w:cs="Verdana" w:ascii="Verdana" w:hAnsi="Verdana"/>
          <w:b w:val="false"/>
          <w:bCs w:val="false"/>
          <w:sz w:val="20"/>
          <w:szCs w:val="20"/>
        </w:rPr>
        <w:t xml:space="preserve"> responsáveis/proibidos-de-contratar/).</w:t>
      </w:r>
    </w:p>
    <w:p>
      <w:pPr>
        <w:pStyle w:val="Normal"/>
        <w:spacing w:lineRule="auto" w:line="240" w:before="57" w:after="57"/>
        <w:jc w:val="both"/>
        <w:rPr/>
      </w:pPr>
      <w:r>
        <w:rPr>
          <w:rFonts w:cs="Verdana" w:ascii="Verdana" w:hAnsi="Verdana"/>
          <w:b w:val="false"/>
          <w:bCs w:val="false"/>
          <w:sz w:val="20"/>
          <w:szCs w:val="20"/>
          <w:lang w:eastAsia="ar-SA"/>
        </w:rPr>
        <w:t xml:space="preserve">12.1.1. </w:t>
      </w:r>
      <w:r>
        <w:rPr>
          <w:rFonts w:cs="Verdana" w:ascii="Verdana" w:hAnsi="Verdana"/>
          <w:sz w:val="20"/>
          <w:szCs w:val="20"/>
          <w:lang w:eastAsia="ar-SA"/>
        </w:rPr>
        <w:t>Para a consulta de licitantes pessoa jurídica poderá haver a substituição das consultas das alíneas “b”, “c” e “d” acima pela Consulta Consolidada de Pessoa Jurídica do TCU (</w:t>
      </w:r>
      <w:hyperlink r:id="rId6">
        <w:r>
          <w:rPr>
            <w:rFonts w:cs="Verdana" w:ascii="Verdana" w:hAnsi="Verdana"/>
            <w:color w:val="000080"/>
            <w:sz w:val="20"/>
            <w:szCs w:val="20"/>
            <w:u w:val="single"/>
            <w:lang w:eastAsia="ar-SA"/>
          </w:rPr>
          <w:t>https://certidoesapf.apps.tcu.gov.br/</w:t>
        </w:r>
      </w:hyperlink>
      <w:r>
        <w:rPr>
          <w:rFonts w:cs="Verdana" w:ascii="Verdana" w:hAnsi="Verdana"/>
          <w:sz w:val="20"/>
          <w:szCs w:val="20"/>
          <w:lang w:eastAsia="ar-SA"/>
        </w:rPr>
        <w:t>);</w:t>
      </w:r>
    </w:p>
    <w:p>
      <w:pPr>
        <w:pStyle w:val="Normal"/>
        <w:spacing w:lineRule="auto" w:line="240" w:before="57" w:after="57"/>
        <w:jc w:val="both"/>
        <w:rPr>
          <w:rFonts w:ascii="Verdana" w:hAnsi="Verdana"/>
          <w:sz w:val="20"/>
          <w:szCs w:val="20"/>
        </w:rPr>
      </w:pPr>
      <w:r>
        <w:rPr>
          <w:rFonts w:cs="Verdana" w:ascii="Verdana" w:hAnsi="Verdana"/>
          <w:b w:val="false"/>
          <w:bCs w:val="false"/>
          <w:color w:val="000000"/>
          <w:sz w:val="20"/>
          <w:szCs w:val="20"/>
        </w:rPr>
        <w:t>12.1.2. A consulta aos cadastros será realizada em nome da empresa licitante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pPr>
        <w:pStyle w:val="ListParagraph"/>
        <w:tabs>
          <w:tab w:val="clear" w:pos="708"/>
          <w:tab w:val="left" w:pos="733" w:leader="none"/>
          <w:tab w:val="left" w:pos="900" w:leader="none"/>
        </w:tabs>
        <w:spacing w:lineRule="auto" w:line="240" w:before="57" w:after="57"/>
        <w:ind w:left="0" w:right="0" w:hanging="0"/>
        <w:contextualSpacing/>
        <w:jc w:val="both"/>
        <w:rPr>
          <w:rFonts w:ascii="Verdana" w:hAnsi="Verdana"/>
          <w:sz w:val="20"/>
          <w:szCs w:val="20"/>
        </w:rPr>
      </w:pPr>
      <w:r>
        <w:rPr>
          <w:rFonts w:cs="Verdana" w:ascii="Verdana" w:hAnsi="Verdana"/>
          <w:b w:val="false"/>
          <w:bCs w:val="false"/>
          <w:color w:val="000000"/>
          <w:sz w:val="20"/>
          <w:szCs w:val="20"/>
        </w:rPr>
        <w:t>12.1.2.1</w:t>
      </w:r>
      <w:r>
        <w:rPr>
          <w:rFonts w:cs="Verdana" w:ascii="Verdana" w:hAnsi="Verdana"/>
          <w:b/>
          <w:bCs/>
          <w:color w:val="000000"/>
          <w:sz w:val="20"/>
          <w:szCs w:val="20"/>
        </w:rPr>
        <w:t>.</w:t>
      </w:r>
      <w:r>
        <w:rPr>
          <w:rFonts w:cs="Verdana" w:ascii="Verdana" w:hAnsi="Verdana"/>
          <w:bCs/>
          <w:color w:val="000000"/>
          <w:sz w:val="20"/>
          <w:szCs w:val="20"/>
        </w:rPr>
        <w:t xml:space="preserve"> Caso conste na Consulta de Situação do Fornecedor a existência de Ocorrências Impeditivas Indiretas, o gestor diligenciará para verificar se houve fraude por parte das empresas apontadas no Relatório de Ocorrências Impeditivas Indiretas.</w:t>
      </w:r>
    </w:p>
    <w:p>
      <w:pPr>
        <w:pStyle w:val="ListParagraph"/>
        <w:tabs>
          <w:tab w:val="clear" w:pos="708"/>
          <w:tab w:val="left" w:pos="733" w:leader="none"/>
          <w:tab w:val="left" w:pos="900" w:leader="none"/>
        </w:tabs>
        <w:spacing w:lineRule="auto" w:line="240" w:before="57" w:after="57"/>
        <w:ind w:left="0" w:right="0" w:hanging="0"/>
        <w:contextualSpacing/>
        <w:jc w:val="both"/>
        <w:rPr>
          <w:rFonts w:ascii="Verdana" w:hAnsi="Verdana"/>
          <w:sz w:val="20"/>
          <w:szCs w:val="20"/>
        </w:rPr>
      </w:pPr>
      <w:r>
        <w:rPr>
          <w:rFonts w:cs="Verdana" w:ascii="Verdana" w:hAnsi="Verdana"/>
          <w:b w:val="false"/>
          <w:bCs w:val="false"/>
          <w:color w:val="000000"/>
          <w:sz w:val="20"/>
          <w:szCs w:val="20"/>
        </w:rPr>
        <w:t>12.1.2.2. A tentativa de burla será verificada por meio dos vínculos societários, linhas de fornecimento similares, dentre outros.</w:t>
      </w:r>
    </w:p>
    <w:p>
      <w:pPr>
        <w:pStyle w:val="ListParagraph"/>
        <w:tabs>
          <w:tab w:val="clear" w:pos="708"/>
          <w:tab w:val="left" w:pos="733" w:leader="none"/>
          <w:tab w:val="left" w:pos="900" w:leader="none"/>
        </w:tabs>
        <w:spacing w:lineRule="auto" w:line="240" w:before="57" w:after="57"/>
        <w:ind w:left="0" w:right="0" w:hanging="0"/>
        <w:contextualSpacing/>
        <w:jc w:val="both"/>
        <w:rPr>
          <w:rFonts w:ascii="Verdana" w:hAnsi="Verdana"/>
          <w:sz w:val="20"/>
          <w:szCs w:val="20"/>
        </w:rPr>
      </w:pPr>
      <w:r>
        <w:rPr>
          <w:rFonts w:cs="Verdana" w:ascii="Verdana" w:hAnsi="Verdana"/>
          <w:b w:val="false"/>
          <w:bCs w:val="false"/>
          <w:color w:val="000000"/>
          <w:sz w:val="20"/>
          <w:szCs w:val="20"/>
        </w:rPr>
        <w:t>12.1.2.3. O licitante será convocado para manifestação previamente à sua desclassificação.</w:t>
      </w:r>
    </w:p>
    <w:p>
      <w:pPr>
        <w:pStyle w:val="ListParagraph"/>
        <w:spacing w:lineRule="auto" w:line="240" w:before="57" w:after="57"/>
        <w:ind w:left="0" w:right="0" w:hanging="0"/>
        <w:contextualSpacing/>
        <w:jc w:val="both"/>
        <w:rPr>
          <w:rFonts w:ascii="Verdana" w:hAnsi="Verdana"/>
          <w:sz w:val="20"/>
          <w:szCs w:val="20"/>
        </w:rPr>
      </w:pPr>
      <w:r>
        <w:rPr>
          <w:rFonts w:cs="Verdana" w:ascii="Verdana" w:hAnsi="Verdana"/>
          <w:b w:val="false"/>
          <w:bCs w:val="false"/>
          <w:color w:val="000000"/>
          <w:sz w:val="20"/>
          <w:szCs w:val="20"/>
        </w:rPr>
        <w:t>12.1.3 .Constatada a existência de sanção, o Pregoeiro reputará o licitante inabilitado, por falta de condição de participação.</w:t>
      </w:r>
    </w:p>
    <w:p>
      <w:pPr>
        <w:pStyle w:val="ListParagraph"/>
        <w:spacing w:lineRule="auto" w:line="240" w:before="57" w:after="57"/>
        <w:ind w:left="0" w:right="0" w:hanging="0"/>
        <w:contextualSpacing/>
        <w:jc w:val="both"/>
        <w:rPr>
          <w:rFonts w:ascii="Verdana" w:hAnsi="Verdana"/>
          <w:sz w:val="20"/>
          <w:szCs w:val="20"/>
        </w:rPr>
      </w:pPr>
      <w:r>
        <w:rPr>
          <w:rFonts w:cs="Verdana" w:ascii="Verdana" w:hAnsi="Verdana"/>
          <w:b w:val="false"/>
          <w:bCs w:val="false"/>
          <w:color w:val="000000"/>
          <w:sz w:val="20"/>
          <w:szCs w:val="20"/>
        </w:rPr>
        <w:t>12.1.4. No caso de inabilitação, haverá nova verificação, pelo sistema, da eventual ocorrência do empate ficto, previsto nos arts. 44 e 45 da Lei Complementar nº 123, de 2006, seguindo-se a disciplina antes estabelecida para aceitação da proposta subsequente.</w:t>
      </w:r>
    </w:p>
    <w:p>
      <w:pPr>
        <w:pStyle w:val="ListParagraph"/>
        <w:tabs>
          <w:tab w:val="clear" w:pos="708"/>
          <w:tab w:val="left" w:pos="567" w:leader="none"/>
        </w:tabs>
        <w:spacing w:lineRule="auto" w:line="240" w:before="57" w:after="57"/>
        <w:ind w:left="0" w:right="0" w:hanging="0"/>
        <w:contextualSpacing/>
        <w:jc w:val="both"/>
        <w:rPr>
          <w:rFonts w:ascii="Verdana" w:hAnsi="Verdana"/>
          <w:sz w:val="20"/>
          <w:szCs w:val="20"/>
        </w:rPr>
      </w:pPr>
      <w:r>
        <w:rPr>
          <w:rFonts w:cs="Verdana" w:ascii="Verdana" w:hAnsi="Verdana"/>
          <w:b w:val="false"/>
          <w:bCs w:val="false"/>
          <w:sz w:val="20"/>
          <w:szCs w:val="20"/>
          <w:lang w:eastAsia="ar-SA"/>
        </w:rPr>
        <w:t xml:space="preserve">12.2. </w:t>
      </w:r>
      <w:r>
        <w:rPr>
          <w:rFonts w:cs="Verdana" w:ascii="Verdana" w:hAnsi="Verdana"/>
          <w:b w:val="false"/>
          <w:bCs w:val="false"/>
          <w:color w:val="000000"/>
          <w:sz w:val="20"/>
          <w:szCs w:val="20"/>
        </w:rPr>
        <w:t xml:space="preserve">Caso atendidas as condições de participação, </w:t>
      </w:r>
      <w:r>
        <w:rPr>
          <w:rFonts w:cs="Verdana" w:ascii="Verdana" w:hAnsi="Verdana"/>
          <w:b w:val="false"/>
          <w:bCs w:val="false"/>
          <w:sz w:val="20"/>
          <w:szCs w:val="20"/>
        </w:rPr>
        <w:t>a habilitação dos licitantes será verificada por meio do SICAF, nos documentos por ele abrangidos</w:t>
      </w:r>
      <w:r>
        <w:rPr>
          <w:rFonts w:cs="Verdana" w:ascii="Verdana" w:hAnsi="Verdana"/>
          <w:b w:val="false"/>
          <w:bCs w:val="false"/>
          <w:sz w:val="20"/>
          <w:szCs w:val="20"/>
          <w:lang w:eastAsia="ar-SA"/>
        </w:rPr>
        <w:t xml:space="preserve"> em relação à habilitação jurídica, à regularidade fiscal e trabalhista, à qualificação econômica financeira e habilitação técnica, conforme o disposto na Instrução Normativa SEGES/MP nº 03, de 2018, alterada pela Instrução Normativa SEGES/MP nº 10 de 2020.</w:t>
      </w:r>
    </w:p>
    <w:p>
      <w:pPr>
        <w:pStyle w:val="ListParagraph"/>
        <w:spacing w:lineRule="auto" w:line="240" w:before="57" w:after="57"/>
        <w:ind w:left="0" w:right="0" w:hanging="0"/>
        <w:contextualSpacing/>
        <w:jc w:val="both"/>
        <w:rPr>
          <w:rFonts w:ascii="Verdana" w:hAnsi="Verdana"/>
          <w:sz w:val="20"/>
          <w:szCs w:val="20"/>
        </w:rPr>
      </w:pPr>
      <w:r>
        <w:rPr>
          <w:rFonts w:cs="Verdana" w:ascii="Verdana" w:hAnsi="Verdana"/>
          <w:b w:val="false"/>
          <w:bCs w:val="false"/>
          <w:sz w:val="20"/>
          <w:szCs w:val="20"/>
          <w:lang w:eastAsia="ar-SA"/>
        </w:rPr>
        <w:t>12.2.1. O interessado, para efeitos de habilitação prevista na Instrução Normativa SEGES/MP nº 03, de 2018 mediante utilização do sistema, deverá atender às condições exigidas no cadastramento no SICAF até o terceiro dia útil anterior à data prevista para recebimento das propostas;</w:t>
      </w:r>
    </w:p>
    <w:p>
      <w:pPr>
        <w:pStyle w:val="ListParagraph"/>
        <w:spacing w:lineRule="auto" w:line="240" w:before="57" w:after="57"/>
        <w:ind w:left="0" w:right="0" w:hanging="0"/>
        <w:contextualSpacing/>
        <w:jc w:val="both"/>
        <w:rPr>
          <w:rFonts w:ascii="Verdana" w:hAnsi="Verdana"/>
          <w:sz w:val="20"/>
          <w:szCs w:val="20"/>
        </w:rPr>
      </w:pPr>
      <w:r>
        <w:rPr>
          <w:rFonts w:cs="Verdana" w:ascii="Verdana" w:hAnsi="Verdana"/>
          <w:b w:val="false"/>
          <w:bCs w:val="false"/>
          <w:color w:val="000000"/>
          <w:sz w:val="20"/>
          <w:szCs w:val="20"/>
        </w:rPr>
        <w:t>12.2.2. É dever do licitante atualizar previamente as comprovações constantes do SICAF para que estejam vigentes na data da abertura da sessão pública, ou encaminhar, em conjunto com a apresentação da proposta, a respectiva documentação atualizada.</w:t>
      </w:r>
    </w:p>
    <w:p>
      <w:pPr>
        <w:pStyle w:val="ListParagraph"/>
        <w:spacing w:lineRule="auto" w:line="240" w:before="57" w:after="57"/>
        <w:ind w:left="0" w:right="0" w:hanging="0"/>
        <w:contextualSpacing/>
        <w:jc w:val="both"/>
        <w:rPr>
          <w:rFonts w:ascii="Verdana" w:hAnsi="Verdana"/>
          <w:sz w:val="20"/>
          <w:szCs w:val="20"/>
        </w:rPr>
      </w:pPr>
      <w:r>
        <w:rPr>
          <w:rFonts w:cs="Verdana" w:ascii="Verdana" w:hAnsi="Verdana"/>
          <w:b w:val="false"/>
          <w:bCs w:val="false"/>
          <w:color w:val="000000"/>
          <w:sz w:val="20"/>
          <w:szCs w:val="20"/>
        </w:rPr>
        <w:t>12.2.3. O descumprimento do subitem acima implicará a inabilitação do licitante, exceto se a consulta aos sítios eletrônicos oficiais emissores de certidões feita pelo Pregoeiro lograr êxito em encontrar a(s) certidão(ões) válida(s), conforme art. 43, §3º, do Decreto 10.024, de 2019.</w:t>
      </w:r>
    </w:p>
    <w:p>
      <w:pPr>
        <w:pStyle w:val="ListParagraph"/>
        <w:spacing w:lineRule="auto" w:line="240" w:before="57" w:after="57"/>
        <w:ind w:left="0" w:right="0" w:hanging="0"/>
        <w:contextualSpacing/>
        <w:jc w:val="both"/>
        <w:rPr>
          <w:rFonts w:ascii="Verdana" w:hAnsi="Verdana"/>
          <w:sz w:val="20"/>
          <w:szCs w:val="20"/>
        </w:rPr>
      </w:pPr>
      <w:r>
        <w:rPr>
          <w:rFonts w:cs="Verdana" w:ascii="Verdana" w:hAnsi="Verdana"/>
          <w:b w:val="false"/>
          <w:bCs w:val="false"/>
          <w:color w:val="000000"/>
          <w:sz w:val="20"/>
          <w:szCs w:val="20"/>
        </w:rPr>
        <w:t>12.3. Ha</w:t>
      </w:r>
      <w:r>
        <w:rPr>
          <w:rFonts w:cs="Verdana" w:ascii="Verdana" w:hAnsi="Verdana"/>
          <w:color w:val="000000"/>
          <w:sz w:val="20"/>
          <w:szCs w:val="20"/>
        </w:rPr>
        <w:t>vendo a necessidade de envio de documentos de habilitação complementares, necessários à confirmação daqueles exigidos neste Edital e já apresentados, o licitante será convocado a encaminhá-los, em formato digital, via sistema, no prazo de 02 (duas) horas, sob pena de inabilitação.</w:t>
      </w:r>
    </w:p>
    <w:p>
      <w:pPr>
        <w:pStyle w:val="ListParagraph"/>
        <w:spacing w:lineRule="auto" w:line="240" w:before="57" w:after="57"/>
        <w:ind w:left="0" w:right="0" w:hanging="0"/>
        <w:contextualSpacing/>
        <w:jc w:val="both"/>
        <w:rPr>
          <w:rFonts w:ascii="Verdana" w:hAnsi="Verdana"/>
          <w:sz w:val="20"/>
          <w:szCs w:val="20"/>
        </w:rPr>
      </w:pPr>
      <w:r>
        <w:rPr>
          <w:rFonts w:cs="Verdana" w:ascii="Verdana" w:hAnsi="Verdana"/>
          <w:b w:val="false"/>
          <w:bCs w:val="false"/>
          <w:sz w:val="20"/>
          <w:szCs w:val="20"/>
        </w:rPr>
        <w:t>12.4. Somente haverá a necessidade de comprovação do preenchimento de requisitos mediante apresentação dos documentos originais não-digitais quando houver dúvida em relação à integridade do documento digital.</w:t>
      </w:r>
    </w:p>
    <w:p>
      <w:pPr>
        <w:pStyle w:val="PADRO"/>
        <w:widowControl/>
        <w:shd w:fill="FFFFFF"/>
        <w:tabs>
          <w:tab w:val="clear" w:pos="708"/>
          <w:tab w:val="left" w:pos="567" w:leader="none"/>
        </w:tabs>
        <w:spacing w:lineRule="auto" w:line="240" w:before="57" w:after="57"/>
        <w:ind w:left="0" w:right="0" w:hanging="0"/>
        <w:rPr>
          <w:rFonts w:ascii="Verdana" w:hAnsi="Verdana"/>
          <w:sz w:val="20"/>
          <w:szCs w:val="20"/>
        </w:rPr>
      </w:pPr>
      <w:r>
        <w:rPr>
          <w:rFonts w:cs="Verdana" w:ascii="Verdana" w:hAnsi="Verdana"/>
          <w:b w:val="false"/>
          <w:bCs w:val="false"/>
          <w:sz w:val="20"/>
          <w:szCs w:val="20"/>
        </w:rPr>
        <w:t>12.5. Não serão aceitos documentos de habilitação com indicação de CNPJ/CPF diferentes, salvo aqueles legalmente permitidos.</w:t>
      </w:r>
    </w:p>
    <w:p>
      <w:pPr>
        <w:pStyle w:val="PADRO"/>
        <w:widowControl/>
        <w:shd w:fill="FFFFFF"/>
        <w:tabs>
          <w:tab w:val="clear" w:pos="708"/>
          <w:tab w:val="left" w:pos="567" w:leader="none"/>
        </w:tabs>
        <w:spacing w:lineRule="auto" w:line="240" w:before="57" w:after="57"/>
        <w:ind w:left="0" w:right="0" w:hanging="0"/>
        <w:rPr>
          <w:rFonts w:ascii="Verdana" w:hAnsi="Verdana"/>
          <w:sz w:val="20"/>
          <w:szCs w:val="20"/>
        </w:rPr>
      </w:pPr>
      <w:r>
        <w:rPr>
          <w:rFonts w:cs="Verdana" w:ascii="Verdana" w:hAnsi="Verdana"/>
          <w:b w:val="false"/>
          <w:bCs w:val="false"/>
          <w:sz w:val="20"/>
          <w:szCs w:val="20"/>
        </w:rPr>
        <w:t>12.6. Serão aceitos registros de CNPJ de licitante matriz e filial com diferenças de números de documentos pertinentes ao CND e ao CRF/FGTS, quando for comprovada a centralização do recolhimento dessas contribuições.</w:t>
      </w:r>
    </w:p>
    <w:p>
      <w:pPr>
        <w:pStyle w:val="PADRO"/>
        <w:widowControl/>
        <w:shd w:fill="FFFFFF"/>
        <w:tabs>
          <w:tab w:val="clear" w:pos="708"/>
          <w:tab w:val="left" w:pos="567" w:leader="none"/>
        </w:tabs>
        <w:spacing w:lineRule="auto" w:line="240" w:before="57" w:after="57"/>
        <w:ind w:left="0" w:right="0" w:hanging="0"/>
        <w:rPr>
          <w:rFonts w:ascii="Verdana" w:hAnsi="Verdana"/>
          <w:sz w:val="20"/>
          <w:szCs w:val="20"/>
        </w:rPr>
      </w:pPr>
      <w:r>
        <w:rPr>
          <w:rFonts w:cs="Verdana" w:ascii="Verdana" w:hAnsi="Verdana"/>
          <w:b w:val="false"/>
          <w:bCs w:val="false"/>
          <w:sz w:val="20"/>
          <w:szCs w:val="20"/>
        </w:rPr>
        <w:t>12.7. Ress</w:t>
      </w:r>
      <w:r>
        <w:rPr>
          <w:rFonts w:cs="Verdana" w:ascii="Verdana" w:hAnsi="Verdana"/>
          <w:sz w:val="20"/>
          <w:szCs w:val="20"/>
        </w:rPr>
        <w:t>alvado o disposto no item 5.3, os licitantes deverão encaminhar, nos termos deste Edital, a documentação relacionada nos itens a seguir, para fins de habilitação:</w:t>
      </w:r>
    </w:p>
    <w:p>
      <w:pPr>
        <w:pStyle w:val="ListParagraph"/>
        <w:spacing w:lineRule="auto" w:line="240"/>
        <w:ind w:left="0" w:right="0" w:hanging="0"/>
        <w:jc w:val="both"/>
        <w:rPr>
          <w:rFonts w:ascii="Verdana" w:hAnsi="Verdana"/>
          <w:sz w:val="20"/>
          <w:szCs w:val="20"/>
        </w:rPr>
      </w:pPr>
      <w:r>
        <w:rPr>
          <w:rFonts w:cs="Verdana" w:ascii="Verdana" w:hAnsi="Verdana"/>
          <w:b/>
          <w:bCs/>
          <w:color w:val="000000"/>
          <w:sz w:val="20"/>
          <w:szCs w:val="20"/>
        </w:rPr>
        <w:t>12.8 Habilitação jurídica:</w:t>
      </w:r>
    </w:p>
    <w:p>
      <w:pPr>
        <w:pStyle w:val="ListParagraph"/>
        <w:spacing w:lineRule="auto" w:line="240" w:before="57" w:after="57"/>
        <w:ind w:left="0" w:right="0" w:hanging="0"/>
        <w:contextualSpacing/>
        <w:jc w:val="both"/>
        <w:rPr>
          <w:rFonts w:ascii="Verdana" w:hAnsi="Verdana"/>
          <w:sz w:val="20"/>
          <w:szCs w:val="20"/>
        </w:rPr>
      </w:pPr>
      <w:r>
        <w:rPr>
          <w:rFonts w:cs="Verdana" w:ascii="Verdana" w:hAnsi="Verdana"/>
          <w:b w:val="false"/>
          <w:bCs w:val="false"/>
          <w:color w:val="000000"/>
          <w:sz w:val="20"/>
          <w:szCs w:val="20"/>
        </w:rPr>
        <w:t>12.8.1 No caso de empresário individual: inscrição no Registro Público de Empresas Mercantis, a cargo da Junta Comercial da respectiva sede.</w:t>
      </w:r>
    </w:p>
    <w:p>
      <w:pPr>
        <w:pStyle w:val="ListParagraph"/>
        <w:spacing w:lineRule="auto" w:line="240" w:before="57" w:after="57"/>
        <w:ind w:left="0" w:right="0" w:hanging="0"/>
        <w:contextualSpacing/>
        <w:jc w:val="both"/>
        <w:rPr/>
      </w:pPr>
      <w:r>
        <w:rPr>
          <w:rFonts w:cs="Verdana" w:ascii="Verdana" w:hAnsi="Verdana"/>
          <w:b w:val="false"/>
          <w:bCs w:val="false"/>
          <w:color w:val="000000"/>
          <w:sz w:val="20"/>
          <w:szCs w:val="20"/>
        </w:rPr>
        <w:t xml:space="preserve">12.8.2 Em se tratando de microempreendedor individual – MEI: Certificado da Condição de Microempreendedor Individual – CCMEI, cuja aceitação ficará condicionada à verificação da autenticidade no sítio </w:t>
      </w:r>
      <w:hyperlink r:id="rId7">
        <w:r>
          <w:rPr>
            <w:rFonts w:cs="Verdana" w:ascii="Verdana" w:hAnsi="Verdana"/>
            <w:b w:val="false"/>
            <w:bCs w:val="false"/>
            <w:color w:val="000000"/>
            <w:sz w:val="20"/>
            <w:szCs w:val="20"/>
            <w:u w:val="single"/>
          </w:rPr>
          <w:t>www.portaldoempreendedor.gov.br</w:t>
        </w:r>
      </w:hyperlink>
      <w:r>
        <w:rPr>
          <w:rFonts w:cs="Verdana" w:ascii="Verdana" w:hAnsi="Verdana"/>
          <w:b w:val="false"/>
          <w:bCs w:val="false"/>
          <w:color w:val="000000"/>
          <w:sz w:val="20"/>
          <w:szCs w:val="20"/>
          <w:u w:val="single"/>
        </w:rPr>
        <w:t>.</w:t>
      </w:r>
    </w:p>
    <w:p>
      <w:pPr>
        <w:pStyle w:val="ListParagraph"/>
        <w:spacing w:lineRule="auto" w:line="240" w:before="57" w:after="57"/>
        <w:ind w:left="0" w:right="0" w:hanging="0"/>
        <w:contextualSpacing/>
        <w:jc w:val="both"/>
        <w:rPr>
          <w:rFonts w:ascii="Verdana" w:hAnsi="Verdana"/>
          <w:sz w:val="20"/>
          <w:szCs w:val="20"/>
        </w:rPr>
      </w:pPr>
      <w:r>
        <w:rPr>
          <w:rFonts w:cs="Verdana" w:ascii="Verdana" w:hAnsi="Verdana"/>
          <w:b w:val="false"/>
          <w:bCs w:val="false"/>
          <w:color w:val="000000"/>
          <w:sz w:val="20"/>
          <w:szCs w:val="20"/>
        </w:rPr>
        <w:t>12.8.3 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pPr>
        <w:pStyle w:val="ListParagraph"/>
        <w:spacing w:lineRule="auto" w:line="240" w:before="57" w:after="57"/>
        <w:ind w:left="0" w:right="0" w:hanging="0"/>
        <w:contextualSpacing/>
        <w:jc w:val="both"/>
        <w:rPr>
          <w:rFonts w:ascii="Verdana" w:hAnsi="Verdana"/>
          <w:sz w:val="20"/>
          <w:szCs w:val="20"/>
        </w:rPr>
      </w:pPr>
      <w:r>
        <w:rPr>
          <w:rFonts w:cs="Verdana" w:ascii="Verdana" w:hAnsi="Verdana"/>
          <w:b w:val="false"/>
          <w:bCs w:val="false"/>
          <w:color w:val="000000"/>
          <w:sz w:val="20"/>
          <w:szCs w:val="20"/>
        </w:rPr>
        <w:t>12.8.4 Inscrição no Registro Público de Empresas Mercantis onde opera, com averbação no Registro onde tem sede a matriz, no caso de ser o participante sucursal, filial ou agência.</w:t>
      </w:r>
    </w:p>
    <w:p>
      <w:pPr>
        <w:pStyle w:val="ListParagraph"/>
        <w:spacing w:lineRule="auto" w:line="240" w:before="57" w:after="57"/>
        <w:ind w:left="0" w:right="0" w:hanging="0"/>
        <w:contextualSpacing/>
        <w:jc w:val="both"/>
        <w:rPr>
          <w:rFonts w:ascii="Verdana" w:hAnsi="Verdana"/>
          <w:sz w:val="20"/>
          <w:szCs w:val="20"/>
        </w:rPr>
      </w:pPr>
      <w:r>
        <w:rPr>
          <w:rFonts w:cs="Verdana" w:ascii="Verdana" w:hAnsi="Verdana"/>
          <w:b w:val="false"/>
          <w:bCs w:val="false"/>
          <w:color w:val="000000"/>
          <w:sz w:val="20"/>
          <w:szCs w:val="20"/>
        </w:rPr>
        <w:t>12.8.5 No caso de sociedade simples: inscrição do ato constitutivo no Registro Civil das Pessoas Jurídicas do local de sua sede, acompanhada de prova da indicação dos seus administradores.</w:t>
      </w:r>
    </w:p>
    <w:p>
      <w:pPr>
        <w:pStyle w:val="ListParagraph"/>
        <w:spacing w:lineRule="auto" w:line="240" w:before="57" w:after="57"/>
        <w:ind w:left="0" w:right="0" w:hanging="0"/>
        <w:contextualSpacing/>
        <w:jc w:val="both"/>
        <w:rPr>
          <w:rFonts w:ascii="Verdana" w:hAnsi="Verdana"/>
          <w:sz w:val="20"/>
          <w:szCs w:val="20"/>
        </w:rPr>
      </w:pPr>
      <w:r>
        <w:rPr>
          <w:rFonts w:cs="Verdana" w:ascii="Verdana" w:hAnsi="Verdana"/>
          <w:b w:val="false"/>
          <w:bCs w:val="false"/>
          <w:color w:val="000000"/>
          <w:sz w:val="20"/>
          <w:szCs w:val="20"/>
        </w:rPr>
        <w:t>12.8.6 No caso de cooperativa: ata de fundação e estatuto social em vigor, com a ata da assembleia que o aprovou, devidamente arquivado na Junta Comercial ou inscrito no Registro Civil das Pessoas Jurídicas da respectiva sede, bem como o registro de que trata o art. 107 da Lei nº 5.764, de 1971.</w:t>
      </w:r>
    </w:p>
    <w:p>
      <w:pPr>
        <w:pStyle w:val="ListParagraph"/>
        <w:spacing w:lineRule="auto" w:line="240" w:before="57" w:after="57"/>
        <w:ind w:left="0" w:right="0" w:hanging="0"/>
        <w:contextualSpacing/>
        <w:jc w:val="both"/>
        <w:rPr>
          <w:rFonts w:ascii="Verdana" w:hAnsi="Verdana"/>
          <w:sz w:val="20"/>
          <w:szCs w:val="20"/>
        </w:rPr>
      </w:pPr>
      <w:r>
        <w:rPr>
          <w:rFonts w:cs="Verdana" w:ascii="Verdana" w:hAnsi="Verdana"/>
          <w:b w:val="false"/>
          <w:bCs w:val="false"/>
          <w:color w:val="000000"/>
          <w:sz w:val="20"/>
          <w:szCs w:val="20"/>
        </w:rPr>
        <w:t>12.8.7 No</w:t>
      </w:r>
      <w:r>
        <w:rPr>
          <w:rFonts w:cs="Verdana" w:ascii="Verdana" w:hAnsi="Verdana"/>
          <w:bCs/>
          <w:color w:val="000000"/>
          <w:sz w:val="20"/>
          <w:szCs w:val="20"/>
        </w:rPr>
        <w:t xml:space="preserve"> caso de empresa ou sociedade estrangeira em funcionamento no País: decreto de autorização.</w:t>
      </w:r>
    </w:p>
    <w:p>
      <w:pPr>
        <w:pStyle w:val="ListParagraph"/>
        <w:spacing w:lineRule="auto" w:line="240" w:before="57" w:after="57"/>
        <w:ind w:left="0" w:right="0" w:hanging="0"/>
        <w:contextualSpacing/>
        <w:jc w:val="both"/>
        <w:rPr>
          <w:rFonts w:ascii="Verdana" w:hAnsi="Verdana"/>
          <w:sz w:val="20"/>
          <w:szCs w:val="20"/>
        </w:rPr>
      </w:pPr>
      <w:r>
        <w:rPr>
          <w:rFonts w:cs="Verdana" w:ascii="Verdana" w:hAnsi="Verdana"/>
          <w:b w:val="false"/>
          <w:bCs w:val="false"/>
          <w:color w:val="000000"/>
          <w:sz w:val="20"/>
          <w:szCs w:val="20"/>
        </w:rPr>
        <w:t>12.8.8 Os documentos acima deverão estar acompanhados de todas as alterações ou da con</w:t>
      </w:r>
      <w:r>
        <w:rPr>
          <w:rFonts w:cs="Verdana" w:ascii="Verdana" w:hAnsi="Verdana"/>
          <w:bCs/>
          <w:color w:val="000000"/>
          <w:sz w:val="20"/>
          <w:szCs w:val="20"/>
        </w:rPr>
        <w:t>solidação respectiva.</w:t>
      </w:r>
    </w:p>
    <w:p>
      <w:pPr>
        <w:pStyle w:val="ListParagraph"/>
        <w:spacing w:lineRule="auto" w:line="240"/>
        <w:ind w:left="0" w:right="0" w:hanging="0"/>
        <w:jc w:val="both"/>
        <w:rPr>
          <w:rFonts w:ascii="Verdana" w:hAnsi="Verdana"/>
          <w:sz w:val="20"/>
          <w:szCs w:val="20"/>
        </w:rPr>
      </w:pPr>
      <w:r>
        <w:rPr>
          <w:rFonts w:cs="Verdana" w:ascii="Verdana" w:hAnsi="Verdana"/>
          <w:b/>
          <w:bCs/>
          <w:color w:val="000000"/>
          <w:sz w:val="20"/>
          <w:szCs w:val="20"/>
        </w:rPr>
        <w:t xml:space="preserve">12.9 Regularidade fiscal </w:t>
      </w:r>
      <w:r>
        <w:rPr>
          <w:rFonts w:cs="Verdana" w:ascii="Verdana" w:hAnsi="Verdana"/>
          <w:b/>
          <w:bCs/>
          <w:sz w:val="20"/>
          <w:szCs w:val="20"/>
        </w:rPr>
        <w:t>e trabalhista</w:t>
      </w:r>
      <w:r>
        <w:rPr>
          <w:rFonts w:cs="Verdana" w:ascii="Verdana" w:hAnsi="Verdana"/>
          <w:b/>
          <w:bCs/>
          <w:color w:val="0000FF"/>
          <w:sz w:val="20"/>
          <w:szCs w:val="20"/>
        </w:rPr>
        <w:t>:</w:t>
      </w:r>
    </w:p>
    <w:p>
      <w:pPr>
        <w:pStyle w:val="Normal"/>
        <w:spacing w:lineRule="auto" w:line="240" w:before="57" w:after="57"/>
        <w:jc w:val="both"/>
        <w:rPr>
          <w:rFonts w:ascii="Verdana" w:hAnsi="Verdana"/>
          <w:sz w:val="20"/>
          <w:szCs w:val="20"/>
        </w:rPr>
      </w:pPr>
      <w:r>
        <w:rPr>
          <w:rFonts w:cs="Verdana" w:ascii="Verdana" w:hAnsi="Verdana"/>
          <w:b w:val="false"/>
          <w:bCs w:val="false"/>
          <w:sz w:val="20"/>
          <w:szCs w:val="20"/>
          <w:lang w:eastAsia="en-US"/>
        </w:rPr>
        <w:t>12.9.1 Prova de inscrição no Cadastro Nacional de Pessoas Jurídicas ou no Cadastro de Pessoas Físicas, conforme o caso.</w:t>
      </w:r>
    </w:p>
    <w:p>
      <w:pPr>
        <w:pStyle w:val="Normal"/>
        <w:spacing w:lineRule="auto" w:line="240" w:before="57" w:after="57"/>
        <w:jc w:val="both"/>
        <w:rPr>
          <w:rFonts w:ascii="Verdana" w:hAnsi="Verdana"/>
          <w:sz w:val="20"/>
          <w:szCs w:val="20"/>
        </w:rPr>
      </w:pPr>
      <w:r>
        <w:rPr>
          <w:rFonts w:cs="Verdana" w:ascii="Verdana" w:hAnsi="Verdana"/>
          <w:b w:val="false"/>
          <w:bCs w:val="false"/>
          <w:sz w:val="20"/>
          <w:szCs w:val="20"/>
          <w:lang w:eastAsia="en-US"/>
        </w:rPr>
        <w:t>12.9.2 Certidão de regularidade junto à fazenda pública Municipal, do domicílio do Licitante.</w:t>
      </w:r>
    </w:p>
    <w:p>
      <w:pPr>
        <w:pStyle w:val="Normal"/>
        <w:spacing w:lineRule="auto" w:line="240" w:before="57" w:after="57"/>
        <w:jc w:val="both"/>
        <w:rPr>
          <w:rFonts w:ascii="Verdana" w:hAnsi="Verdana"/>
          <w:sz w:val="20"/>
          <w:szCs w:val="20"/>
        </w:rPr>
      </w:pPr>
      <w:r>
        <w:rPr>
          <w:rFonts w:cs="Verdana" w:ascii="Verdana" w:hAnsi="Verdana"/>
          <w:b w:val="false"/>
          <w:bCs w:val="false"/>
          <w:sz w:val="20"/>
          <w:szCs w:val="20"/>
        </w:rPr>
        <w:t>12.9.3 Certidão de regularidade junto à fazenda pública Estadual, do domicílio do Licitante.</w:t>
      </w:r>
    </w:p>
    <w:p>
      <w:pPr>
        <w:pStyle w:val="Normal"/>
        <w:spacing w:lineRule="auto" w:line="240" w:before="57" w:after="57"/>
        <w:jc w:val="both"/>
        <w:rPr>
          <w:rFonts w:ascii="Verdana" w:hAnsi="Verdana"/>
          <w:sz w:val="20"/>
          <w:szCs w:val="20"/>
        </w:rPr>
      </w:pPr>
      <w:r>
        <w:rPr>
          <w:rFonts w:cs="Verdana" w:ascii="Verdana" w:hAnsi="Verdana"/>
          <w:b w:val="false"/>
          <w:bCs w:val="false"/>
          <w:sz w:val="20"/>
          <w:szCs w:val="20"/>
        </w:rPr>
        <w:t>12.9.4 Certidão conjunta de regularidade junto à fazenda pública Federal, (Quitação de tributos e contribuições Federais e Quanto à dívida ativa da União) e junto ao INSS, conforme Portaria MF nº 358 de 05/09/2014.</w:t>
      </w:r>
    </w:p>
    <w:p>
      <w:pPr>
        <w:pStyle w:val="Normal"/>
        <w:spacing w:lineRule="auto" w:line="240" w:before="57" w:after="57"/>
        <w:jc w:val="both"/>
        <w:rPr>
          <w:rFonts w:ascii="Verdana" w:hAnsi="Verdana"/>
          <w:sz w:val="20"/>
          <w:szCs w:val="20"/>
        </w:rPr>
      </w:pPr>
      <w:r>
        <w:rPr>
          <w:rFonts w:cs="Verdana" w:ascii="Verdana" w:hAnsi="Verdana"/>
          <w:b w:val="false"/>
          <w:bCs w:val="false"/>
          <w:sz w:val="20"/>
          <w:szCs w:val="20"/>
        </w:rPr>
        <w:t>12.9.5 Certidão de regularidade junto ao FGTS;</w:t>
      </w:r>
    </w:p>
    <w:p>
      <w:pPr>
        <w:pStyle w:val="Normal"/>
        <w:spacing w:lineRule="auto" w:line="240" w:before="57" w:after="57"/>
        <w:jc w:val="both"/>
        <w:rPr>
          <w:rFonts w:ascii="Verdana" w:hAnsi="Verdana"/>
          <w:sz w:val="20"/>
          <w:szCs w:val="20"/>
        </w:rPr>
      </w:pPr>
      <w:r>
        <w:rPr>
          <w:rFonts w:cs="Verdana" w:ascii="Verdana" w:hAnsi="Verdana"/>
          <w:b w:val="false"/>
          <w:bCs w:val="false"/>
          <w:sz w:val="20"/>
          <w:szCs w:val="20"/>
          <w:lang w:eastAsia="en-US"/>
        </w:rPr>
        <w:t>12.9.6 Certidão Negativa De Débitos Trabalhistas (CNDT) de acordo com a Lei 12440 de 7 de julho de 2011.</w:t>
      </w:r>
    </w:p>
    <w:p>
      <w:pPr>
        <w:pStyle w:val="Normal"/>
        <w:spacing w:lineRule="auto" w:line="240" w:before="57" w:after="57"/>
        <w:jc w:val="both"/>
        <w:rPr>
          <w:rFonts w:ascii="Verdana" w:hAnsi="Verdana"/>
          <w:sz w:val="20"/>
          <w:szCs w:val="20"/>
        </w:rPr>
      </w:pPr>
      <w:r>
        <w:rPr>
          <w:rFonts w:cs="Verdana" w:ascii="Verdana" w:hAnsi="Verdana"/>
          <w:b w:val="false"/>
          <w:bCs w:val="false"/>
          <w:color w:val="000000"/>
          <w:sz w:val="20"/>
          <w:szCs w:val="20"/>
          <w:lang w:eastAsia="en-US" w:bidi="pt-BR"/>
        </w:rPr>
        <w:t xml:space="preserve">12.9.7 Caso o vencedor do menor preço seja qualificado como microempresa ou empresa de pequeno porte </w:t>
      </w:r>
      <w:r>
        <w:rPr>
          <w:rFonts w:cs="Verdana" w:ascii="Verdana" w:hAnsi="Verdana"/>
          <w:b w:val="false"/>
          <w:bCs w:val="false"/>
          <w:color w:val="000000"/>
          <w:sz w:val="20"/>
          <w:szCs w:val="20"/>
          <w:lang w:eastAsia="en-US"/>
        </w:rPr>
        <w:t>deverá apresentar toda a documentação exigida para efeito de</w:t>
      </w:r>
      <w:r>
        <w:rPr>
          <w:rFonts w:cs="Verdana" w:ascii="Verdana" w:hAnsi="Verdana"/>
          <w:color w:val="000000"/>
          <w:sz w:val="20"/>
          <w:szCs w:val="20"/>
          <w:lang w:eastAsia="en-US"/>
        </w:rPr>
        <w:t xml:space="preserve"> comprovação de regularidade fiscal, mesmo que esta apresente alguma restrição, sob pena de inabilitação.</w:t>
      </w:r>
    </w:p>
    <w:p>
      <w:pPr>
        <w:pStyle w:val="ListParagraph"/>
        <w:spacing w:lineRule="auto" w:line="240" w:before="0" w:after="0"/>
        <w:ind w:left="0" w:right="0" w:hanging="0"/>
        <w:contextualSpacing/>
        <w:jc w:val="both"/>
        <w:rPr>
          <w:rFonts w:ascii="Verdana" w:hAnsi="Verdana"/>
          <w:sz w:val="20"/>
          <w:szCs w:val="20"/>
        </w:rPr>
      </w:pPr>
      <w:r>
        <w:rPr>
          <w:rFonts w:ascii="Verdana" w:hAnsi="Verdana"/>
          <w:sz w:val="20"/>
          <w:szCs w:val="20"/>
        </w:rPr>
      </w:r>
    </w:p>
    <w:p>
      <w:pPr>
        <w:pStyle w:val="ListParagraph"/>
        <w:spacing w:lineRule="auto" w:line="240" w:before="57" w:after="57"/>
        <w:ind w:left="0" w:right="0" w:hanging="0"/>
        <w:contextualSpacing/>
        <w:jc w:val="both"/>
        <w:rPr>
          <w:rFonts w:ascii="Verdana" w:hAnsi="Verdana"/>
          <w:sz w:val="20"/>
          <w:szCs w:val="20"/>
        </w:rPr>
      </w:pPr>
      <w:r>
        <w:rPr>
          <w:rFonts w:cs="Verdana" w:ascii="Verdana" w:hAnsi="Verdana"/>
          <w:b/>
          <w:color w:val="000000"/>
          <w:sz w:val="20"/>
          <w:szCs w:val="20"/>
        </w:rPr>
        <w:t>12.10 Qualificação Econômico-Financeira</w:t>
      </w:r>
      <w:r>
        <w:rPr>
          <w:rFonts w:cs="Verdana" w:ascii="Verdana" w:hAnsi="Verdana"/>
          <w:color w:val="000000"/>
          <w:sz w:val="20"/>
          <w:szCs w:val="20"/>
        </w:rPr>
        <w:t>.</w:t>
      </w:r>
    </w:p>
    <w:p>
      <w:pPr>
        <w:pStyle w:val="Normal"/>
        <w:tabs>
          <w:tab w:val="clear" w:pos="708"/>
          <w:tab w:val="left" w:pos="850" w:leader="none"/>
        </w:tabs>
        <w:spacing w:lineRule="auto" w:line="240" w:before="57" w:after="57"/>
        <w:jc w:val="both"/>
        <w:rPr>
          <w:rFonts w:ascii="Verdana" w:hAnsi="Verdana"/>
          <w:sz w:val="20"/>
          <w:szCs w:val="20"/>
        </w:rPr>
      </w:pPr>
      <w:r>
        <w:rPr>
          <w:rFonts w:cs="Verdana" w:ascii="Verdana" w:hAnsi="Verdana"/>
          <w:b w:val="false"/>
          <w:bCs w:val="false"/>
          <w:color w:val="000000"/>
          <w:sz w:val="20"/>
          <w:szCs w:val="20"/>
        </w:rPr>
        <w:t>12.10.1 Certidão negativa de falência, recuperação judicial e extrajudicial, expedida pelo cartório distribuidor da sede da Licitante ou por meio digital, emitida em até 30 (trinta) dias anteriores à data de abertura da Licitação;</w:t>
      </w:r>
    </w:p>
    <w:p>
      <w:pPr>
        <w:pStyle w:val="Normal"/>
        <w:tabs>
          <w:tab w:val="clear" w:pos="708"/>
          <w:tab w:val="left" w:pos="850" w:leader="none"/>
        </w:tabs>
        <w:spacing w:lineRule="auto" w:line="240" w:before="57" w:after="57"/>
        <w:jc w:val="both"/>
        <w:rPr>
          <w:rFonts w:ascii="Verdana" w:hAnsi="Verdana"/>
          <w:sz w:val="20"/>
          <w:szCs w:val="20"/>
        </w:rPr>
      </w:pPr>
      <w:r>
        <w:rPr>
          <w:rFonts w:cs="Verdana" w:ascii="Verdana" w:hAnsi="Verdana"/>
          <w:b w:val="false"/>
          <w:bCs w:val="false"/>
          <w:color w:val="000000"/>
          <w:sz w:val="20"/>
          <w:szCs w:val="20"/>
        </w:rPr>
        <w:t>12.10.2 Havendo algum prazo de validade estabelecido por cartório na certidão citada na letra anterior, será considerado o prazo constante da certidão para comprovação da sua validade.</w:t>
      </w:r>
    </w:p>
    <w:p>
      <w:pPr>
        <w:pStyle w:val="Normal"/>
        <w:tabs>
          <w:tab w:val="clear" w:pos="708"/>
          <w:tab w:val="left" w:pos="850" w:leader="none"/>
        </w:tabs>
        <w:spacing w:lineRule="auto" w:line="240" w:before="57" w:after="57"/>
        <w:ind w:left="-57" w:right="0" w:hanging="0"/>
        <w:jc w:val="both"/>
        <w:rPr>
          <w:rFonts w:ascii="Verdana" w:hAnsi="Verdana"/>
          <w:sz w:val="20"/>
          <w:szCs w:val="20"/>
        </w:rPr>
      </w:pPr>
      <w:r>
        <w:rPr>
          <w:rFonts w:cs="Verdana" w:ascii="Verdana" w:hAnsi="Verdana"/>
          <w:b w:val="false"/>
          <w:bCs w:val="false"/>
          <w:sz w:val="20"/>
          <w:szCs w:val="20"/>
        </w:rPr>
        <w:t>12.10.3 Para a contagem do prazo estabelecido na letra “a” deste capítulo, será contado a partir do primeiro dia que antecede a data da realização desta licitação.</w:t>
      </w:r>
    </w:p>
    <w:p>
      <w:pPr>
        <w:pStyle w:val="Normal"/>
        <w:tabs>
          <w:tab w:val="clear" w:pos="708"/>
          <w:tab w:val="left" w:pos="850" w:leader="none"/>
        </w:tabs>
        <w:spacing w:lineRule="auto" w:line="240" w:before="57" w:after="57"/>
        <w:ind w:left="-79" w:right="0" w:hanging="0"/>
        <w:jc w:val="both"/>
        <w:rPr>
          <w:rFonts w:ascii="Verdana" w:hAnsi="Verdana"/>
          <w:sz w:val="20"/>
          <w:szCs w:val="20"/>
        </w:rPr>
      </w:pPr>
      <w:r>
        <w:rPr>
          <w:rFonts w:cs="Verdana" w:ascii="Verdana" w:hAnsi="Verdana"/>
          <w:b w:val="false"/>
          <w:bCs w:val="false"/>
          <w:color w:val="000000"/>
          <w:sz w:val="20"/>
          <w:szCs w:val="20"/>
          <w:lang w:eastAsia="en-US"/>
        </w:rPr>
        <w:t xml:space="preserve">12.10.4 </w:t>
      </w:r>
      <w:r>
        <w:rPr>
          <w:rFonts w:cs="Verdana" w:ascii="Verdana" w:hAnsi="Verdana"/>
          <w:color w:val="000000"/>
          <w:sz w:val="20"/>
          <w:szCs w:val="20"/>
          <w:lang w:eastAsia="en-US"/>
        </w:rPr>
        <w:t>As empresas que estiverem em processo de recuperação judicial ou recuperação extrajudicial deverão apresentar como condicionante de sua habilitação, além da certidão de inexistência de processo de falência, o deferimento do primeiro processo ou a homologação do segundo, e, em ambos os casos, atestado de capacidade de cumprir o objeto licitado fornecido pelo juízo em que tramita a recuperação.</w:t>
      </w:r>
    </w:p>
    <w:p>
      <w:pPr>
        <w:pStyle w:val="Normal"/>
        <w:spacing w:lineRule="auto" w:line="240"/>
        <w:ind w:left="0" w:right="0" w:hanging="0"/>
        <w:rPr>
          <w:rFonts w:ascii="Verdana" w:hAnsi="Verdana"/>
          <w:sz w:val="20"/>
          <w:szCs w:val="20"/>
        </w:rPr>
      </w:pPr>
      <w:r>
        <w:rPr>
          <w:rFonts w:cs="Times New Roman" w:ascii="Verdana" w:hAnsi="Verdana"/>
          <w:b/>
          <w:bCs/>
          <w:sz w:val="20"/>
          <w:szCs w:val="20"/>
        </w:rPr>
        <w:t xml:space="preserve">13.  ADEQUAÇÃO ORÇAMENTÁRIA </w:t>
      </w:r>
    </w:p>
    <w:p>
      <w:pPr>
        <w:pStyle w:val="ListParagraph"/>
        <w:spacing w:lineRule="auto" w:line="240"/>
        <w:ind w:left="0" w:right="0" w:hanging="0"/>
        <w:jc w:val="both"/>
        <w:rPr>
          <w:rFonts w:ascii="Verdana" w:hAnsi="Verdana"/>
          <w:sz w:val="20"/>
          <w:szCs w:val="20"/>
        </w:rPr>
      </w:pPr>
      <w:r>
        <w:rPr>
          <w:rFonts w:ascii="Verdana" w:hAnsi="Verdana"/>
          <w:b w:val="false"/>
          <w:bCs w:val="false"/>
          <w:sz w:val="20"/>
          <w:szCs w:val="20"/>
        </w:rPr>
        <w:t>13.1.</w:t>
      </w:r>
      <w:r>
        <w:rPr>
          <w:rFonts w:ascii="Verdana" w:hAnsi="Verdana"/>
          <w:b/>
          <w:bCs/>
          <w:sz w:val="20"/>
          <w:szCs w:val="20"/>
        </w:rPr>
        <w:t xml:space="preserve"> </w:t>
      </w:r>
      <w:r>
        <w:rPr>
          <w:rFonts w:ascii="Verdana" w:hAnsi="Verdana"/>
          <w:sz w:val="20"/>
          <w:szCs w:val="20"/>
        </w:rPr>
        <w:t xml:space="preserve">As despesas decorrentes da presente </w:t>
      </w:r>
      <w:r>
        <w:rPr>
          <w:rFonts w:eastAsia="Times New Roman" w:cs="Times New Roman" w:ascii="Verdana" w:hAnsi="Verdana"/>
          <w:sz w:val="20"/>
          <w:szCs w:val="20"/>
        </w:rPr>
        <w:t>aquisição</w:t>
      </w:r>
      <w:r>
        <w:rPr>
          <w:rFonts w:ascii="Verdana" w:hAnsi="Verdana"/>
          <w:sz w:val="20"/>
          <w:szCs w:val="20"/>
        </w:rPr>
        <w:t xml:space="preserve"> correrão à conta de recursos específicos consignados no Lei Orçamentária Anual.</w:t>
      </w:r>
    </w:p>
    <w:p>
      <w:pPr>
        <w:pStyle w:val="Normal"/>
        <w:spacing w:lineRule="auto" w:line="240"/>
        <w:jc w:val="both"/>
        <w:rPr>
          <w:rFonts w:ascii="Verdana" w:hAnsi="Verdana"/>
          <w:sz w:val="20"/>
          <w:szCs w:val="20"/>
        </w:rPr>
      </w:pPr>
      <w:r>
        <w:rPr>
          <w:rFonts w:cs="Arial" w:ascii="Verdana" w:hAnsi="Verdana"/>
          <w:b/>
          <w:bCs/>
          <w:color w:val="000000"/>
          <w:sz w:val="20"/>
          <w:szCs w:val="20"/>
        </w:rPr>
        <w:t>14. DOS RESPONSÁVEIS PELA ELABORAÇÃO DO TERMO DE REFERÊNCIA</w:t>
      </w:r>
    </w:p>
    <w:p>
      <w:pPr>
        <w:pStyle w:val="Normal"/>
        <w:spacing w:lineRule="auto" w:line="240"/>
        <w:jc w:val="both"/>
        <w:rPr>
          <w:rFonts w:ascii="Verdana" w:hAnsi="Verdana"/>
          <w:sz w:val="20"/>
          <w:szCs w:val="20"/>
        </w:rPr>
      </w:pPr>
      <w:r>
        <w:rPr>
          <w:rFonts w:cs="Arial" w:ascii="Verdana" w:hAnsi="Verdana"/>
          <w:b w:val="false"/>
          <w:bCs w:val="false"/>
          <w:color w:val="000000"/>
          <w:sz w:val="20"/>
          <w:szCs w:val="20"/>
        </w:rPr>
        <w:t>14.1. A compilação d</w:t>
      </w:r>
      <w:r>
        <w:rPr>
          <w:rFonts w:eastAsia="Times New Roman" w:cs="Arial" w:ascii="Verdana" w:hAnsi="Verdana"/>
          <w:b w:val="false"/>
          <w:bCs w:val="false"/>
          <w:color w:val="000000"/>
          <w:sz w:val="20"/>
          <w:szCs w:val="20"/>
        </w:rPr>
        <w:t>e parte das</w:t>
      </w:r>
      <w:r>
        <w:rPr>
          <w:rFonts w:cs="Arial" w:ascii="Verdana" w:hAnsi="Verdana"/>
          <w:b w:val="false"/>
          <w:bCs w:val="false"/>
          <w:color w:val="000000"/>
          <w:sz w:val="20"/>
          <w:szCs w:val="20"/>
        </w:rPr>
        <w:t xml:space="preserve"> informações mencionados </w:t>
      </w:r>
      <w:r>
        <w:rPr>
          <w:rFonts w:eastAsia="Times New Roman" w:cs="Arial" w:ascii="Verdana" w:hAnsi="Verdana"/>
          <w:b w:val="false"/>
          <w:bCs w:val="false"/>
          <w:color w:val="000000"/>
          <w:sz w:val="20"/>
          <w:szCs w:val="20"/>
        </w:rPr>
        <w:t>na</w:t>
      </w:r>
      <w:r>
        <w:rPr>
          <w:rFonts w:cs="Arial" w:ascii="Verdana" w:hAnsi="Verdana"/>
          <w:b w:val="false"/>
          <w:bCs w:val="false"/>
          <w:color w:val="000000"/>
          <w:sz w:val="20"/>
          <w:szCs w:val="20"/>
        </w:rPr>
        <w:t xml:space="preserve"> elaboração deste Termo de Referência foram estruturadas através do ETP – Estudo Técnico Preliminar elaborado pela secretaria requisitante.</w:t>
      </w:r>
    </w:p>
    <w:p>
      <w:pPr>
        <w:pStyle w:val="Normal"/>
        <w:spacing w:lineRule="auto" w:line="240"/>
        <w:jc w:val="right"/>
        <w:rPr>
          <w:rFonts w:ascii="Verdana" w:hAnsi="Verdana"/>
          <w:sz w:val="20"/>
          <w:szCs w:val="20"/>
        </w:rPr>
      </w:pPr>
      <w:r>
        <w:rPr>
          <w:rFonts w:ascii="Verdana" w:hAnsi="Verdana"/>
          <w:sz w:val="20"/>
          <w:szCs w:val="20"/>
        </w:rPr>
        <w:t>São Gabriel da Palha, 30 de abril  de 2025</w:t>
      </w:r>
    </w:p>
    <w:p>
      <w:pPr>
        <w:pStyle w:val="Normal"/>
        <w:spacing w:lineRule="auto" w:line="240"/>
        <w:jc w:val="both"/>
        <w:rPr>
          <w:rFonts w:ascii="Verdana" w:hAnsi="Verdana"/>
          <w:sz w:val="20"/>
          <w:szCs w:val="20"/>
        </w:rPr>
      </w:pPr>
      <w:r>
        <w:rPr>
          <w:rFonts w:cs="Arial" w:ascii="Verdana" w:hAnsi="Verdana"/>
          <w:b/>
          <w:bCs/>
          <w:sz w:val="20"/>
          <w:szCs w:val="20"/>
        </w:rPr>
        <w:t>Elaborado por:</w:t>
      </w:r>
    </w:p>
    <w:p>
      <w:pPr>
        <w:pStyle w:val="Normal"/>
        <w:spacing w:lineRule="auto" w:line="240"/>
        <w:rPr>
          <w:rFonts w:ascii="Verdana" w:hAnsi="Verdana"/>
          <w:sz w:val="20"/>
          <w:szCs w:val="20"/>
        </w:rPr>
      </w:pPr>
      <w:bookmarkEnd w:id="0"/>
      <w:bookmarkEnd w:id="1"/>
      <w:bookmarkEnd w:id="2"/>
      <w:bookmarkEnd w:id="3"/>
      <w:bookmarkEnd w:id="4"/>
      <w:bookmarkEnd w:id="5"/>
      <w:bookmarkEnd w:id="6"/>
      <w:r>
        <w:rPr>
          <w:rFonts w:cs="Arial" w:ascii="Verdana" w:hAnsi="Verdana"/>
          <w:b/>
          <w:sz w:val="20"/>
          <w:szCs w:val="20"/>
          <w:u w:val="single"/>
        </w:rPr>
        <w:t>KARINA ARRIVABENE</w:t>
      </w:r>
    </w:p>
    <w:p>
      <w:pPr>
        <w:pStyle w:val="Normal"/>
        <w:spacing w:lineRule="auto" w:line="240"/>
        <w:rPr>
          <w:rFonts w:ascii="Verdana" w:hAnsi="Verdana"/>
          <w:sz w:val="20"/>
          <w:szCs w:val="20"/>
        </w:rPr>
      </w:pPr>
      <w:r>
        <w:rPr>
          <w:rFonts w:cs="Arial" w:ascii="Verdana" w:hAnsi="Verdana"/>
          <w:b/>
          <w:sz w:val="20"/>
          <w:szCs w:val="20"/>
          <w:u w:val="single"/>
        </w:rPr>
        <w:t>Escriturário</w:t>
      </w:r>
    </w:p>
    <w:p>
      <w:pPr>
        <w:pStyle w:val="Normal"/>
        <w:spacing w:lineRule="auto" w:line="240"/>
        <w:rPr>
          <w:rFonts w:ascii="Verdana" w:hAnsi="Verdana"/>
          <w:sz w:val="20"/>
          <w:szCs w:val="20"/>
        </w:rPr>
      </w:pPr>
      <w:r>
        <w:rPr>
          <w:rFonts w:ascii="Verdana" w:hAnsi="Verdana"/>
          <w:sz w:val="20"/>
          <w:szCs w:val="20"/>
        </w:rPr>
        <w:t>Mat nº 003463</w:t>
      </w:r>
    </w:p>
    <w:p>
      <w:pPr>
        <w:pStyle w:val="Normal"/>
        <w:spacing w:lineRule="auto" w:line="240"/>
        <w:rPr>
          <w:rFonts w:ascii="Verdana" w:hAnsi="Verdana"/>
          <w:sz w:val="20"/>
          <w:szCs w:val="20"/>
        </w:rPr>
      </w:pPr>
      <w:r>
        <w:rPr>
          <w:rFonts w:ascii="Verdana" w:hAnsi="Verdana"/>
          <w:sz w:val="20"/>
          <w:szCs w:val="20"/>
        </w:rPr>
      </w:r>
    </w:p>
    <w:p>
      <w:pPr>
        <w:pStyle w:val="Normal"/>
        <w:spacing w:lineRule="auto" w:line="240"/>
        <w:rPr>
          <w:rFonts w:ascii="Verdana" w:hAnsi="Verdana"/>
          <w:sz w:val="20"/>
          <w:szCs w:val="20"/>
        </w:rPr>
      </w:pPr>
      <w:r>
        <w:rPr>
          <w:rFonts w:ascii="Verdana" w:hAnsi="Verdana"/>
          <w:sz w:val="20"/>
          <w:szCs w:val="20"/>
        </w:rPr>
        <w:t>APROVADO POR:</w:t>
      </w:r>
    </w:p>
    <w:p>
      <w:pPr>
        <w:pStyle w:val="Normal"/>
        <w:spacing w:lineRule="auto" w:line="240"/>
        <w:rPr>
          <w:rFonts w:ascii="Verdana" w:hAnsi="Verdana"/>
          <w:sz w:val="20"/>
          <w:szCs w:val="20"/>
        </w:rPr>
      </w:pPr>
      <w:r>
        <w:rPr>
          <w:rFonts w:ascii="Verdana" w:hAnsi="Verdana"/>
          <w:sz w:val="20"/>
          <w:szCs w:val="20"/>
        </w:rPr>
        <w:t>MARCELLA FERREIRA ROSSONI ROCHA</w:t>
      </w:r>
    </w:p>
    <w:p>
      <w:pPr>
        <w:pStyle w:val="Normal"/>
        <w:spacing w:lineRule="auto" w:line="240"/>
        <w:rPr>
          <w:rFonts w:ascii="Verdana" w:hAnsi="Verdana"/>
          <w:sz w:val="20"/>
          <w:szCs w:val="20"/>
        </w:rPr>
      </w:pPr>
      <w:r>
        <w:rPr>
          <w:rFonts w:ascii="Verdana" w:hAnsi="Verdana"/>
          <w:sz w:val="20"/>
          <w:szCs w:val="20"/>
        </w:rPr>
        <w:t>SECRETÁRIA MUNICIPAL DE SAÚDE</w:t>
      </w:r>
    </w:p>
    <w:p>
      <w:pPr>
        <w:pStyle w:val="Normal"/>
        <w:spacing w:lineRule="auto" w:line="240"/>
        <w:rPr>
          <w:rFonts w:ascii="Verdana" w:hAnsi="Verdana"/>
          <w:sz w:val="20"/>
          <w:szCs w:val="20"/>
        </w:rPr>
      </w:pPr>
      <w:r>
        <w:rPr>
          <w:rFonts w:ascii="Verdana" w:hAnsi="Verdana"/>
          <w:sz w:val="20"/>
          <w:szCs w:val="20"/>
        </w:rPr>
      </w:r>
    </w:p>
    <w:sectPr>
      <w:headerReference w:type="default" r:id="rId8"/>
      <w:footerReference w:type="default" r:id="rId9"/>
      <w:type w:val="nextPage"/>
      <w:pgSz w:w="11906" w:h="16838"/>
      <w:pgMar w:left="1550" w:right="905" w:gutter="0" w:header="227" w:top="851" w:footer="567" w:bottom="851"/>
      <w:pgNumType w:fmt="decimal"/>
      <w:formProt w:val="false"/>
      <w:textDirection w:val="lrTb"/>
      <w:docGrid w:type="default" w:linePitch="326"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Cambria">
    <w:charset w:val="00"/>
    <w:family w:val="roman"/>
    <w:pitch w:val="variable"/>
  </w:font>
  <w:font w:name="Arial">
    <w:charset w:val="00"/>
    <w:family w:val="roman"/>
    <w:pitch w:val="variable"/>
  </w:font>
  <w:font w:name="Ecofont_Spranq_eco_Sans">
    <w:charset w:val="00"/>
    <w:family w:val="roman"/>
    <w:pitch w:val="variable"/>
  </w:font>
  <w:font w:name="Tahoma">
    <w:charset w:val="00"/>
    <w:family w:val="roman"/>
    <w:pitch w:val="variable"/>
  </w:font>
  <w:font w:name="Verdana">
    <w:charset w:val="00"/>
    <w:family w:val="roman"/>
    <w:pitch w:val="variable"/>
  </w:font>
  <w:font w:name="Courier New">
    <w:charset w:val="00"/>
    <w:family w:val="roman"/>
    <w:pitch w:val="variable"/>
  </w:font>
  <w:font w:name="Liberation Sans">
    <w:altName w:val="Arial"/>
    <w:charset w:val="00"/>
    <w:family w:val="roman"/>
    <w:pitch w:val="variable"/>
  </w:font>
  <w:font w:name="Verdana">
    <w:charset w:val="01"/>
    <w:family w:val="swiss"/>
    <w:pitch w:val="variable"/>
  </w:font>
  <w:font w:name="Arial Narrow">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Rodap"/>
      <w:pBdr>
        <w:top w:val="single" w:sz="4" w:space="1" w:color="000000"/>
      </w:pBdr>
      <w:tabs>
        <w:tab w:val="left" w:pos="540" w:leader="none"/>
        <w:tab w:val="center" w:pos="4419" w:leader="none"/>
        <w:tab w:val="center" w:pos="4536" w:leader="none"/>
        <w:tab w:val="right" w:pos="8838" w:leader="none"/>
      </w:tabs>
      <w:jc w:val="center"/>
      <w:rPr>
        <w:rStyle w:val="Pagenumber"/>
        <w:rFonts w:ascii="Tahoma" w:hAnsi="Tahoma" w:cs="Tahoma"/>
        <w:sz w:val="16"/>
        <w:szCs w:val="16"/>
      </w:rPr>
    </w:pPr>
    <w:r>
      <w:rPr>
        <w:rStyle w:val="Pagenumber"/>
        <w:rFonts w:cs="Tahoma" w:ascii="Tahoma" w:hAnsi="Tahoma"/>
        <w:sz w:val="16"/>
        <w:szCs w:val="16"/>
      </w:rPr>
      <w:t xml:space="preserve">Praça Vicente Glazar, 159 | São Gabriel da Palha-ES | CEP 29780 000  </w:t>
    </w:r>
  </w:p>
  <w:p>
    <w:pPr>
      <w:pStyle w:val="Rodap"/>
      <w:pBdr>
        <w:top w:val="single" w:sz="4" w:space="1" w:color="000000"/>
      </w:pBdr>
      <w:jc w:val="center"/>
      <w:rPr>
        <w:rStyle w:val="Pagenumber"/>
        <w:rFonts w:ascii="Tahoma" w:hAnsi="Tahoma" w:cs="Tahoma"/>
        <w:sz w:val="16"/>
        <w:szCs w:val="16"/>
      </w:rPr>
    </w:pPr>
    <w:r>
      <w:rPr>
        <w:rStyle w:val="Pagenumber"/>
        <w:rFonts w:cs="Tahoma" w:ascii="Tahoma" w:hAnsi="Tahoma"/>
        <w:sz w:val="16"/>
        <w:szCs w:val="16"/>
      </w:rPr>
      <w:t>Fone/Fax (027) 3727-1366 | E-mail: compras@saogabriel.es.gov.br</w:t>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rPr>
        <w:rFonts w:ascii="Verdana" w:hAnsi="Verdana"/>
        <w:sz w:val="26"/>
        <w:szCs w:val="26"/>
      </w:rPr>
    </w:pPr>
    <w:r>
      <w:rPr>
        <w:rFonts w:ascii="Verdana" w:hAnsi="Verdana"/>
        <w:sz w:val="26"/>
        <w:szCs w:val="26"/>
      </w:rPr>
    </w:r>
  </w:p>
  <w:p>
    <w:pPr>
      <w:pStyle w:val="Normal"/>
      <w:rPr>
        <w:rFonts w:ascii="Verdana" w:hAnsi="Verdana"/>
        <w:sz w:val="26"/>
        <w:szCs w:val="26"/>
      </w:rPr>
    </w:pPr>
    <w:r>
      <w:rPr>
        <w:rFonts w:ascii="Verdana" w:hAnsi="Verdana"/>
        <w:sz w:val="26"/>
        <w:szCs w:val="26"/>
      </w:rPr>
      <w:drawing>
        <wp:anchor behindDoc="1" distT="0" distB="0" distL="114300" distR="114300" simplePos="0" locked="0" layoutInCell="0" allowOverlap="1" relativeHeight="10">
          <wp:simplePos x="0" y="0"/>
          <wp:positionH relativeFrom="column">
            <wp:posOffset>-137160</wp:posOffset>
          </wp:positionH>
          <wp:positionV relativeFrom="paragraph">
            <wp:posOffset>83820</wp:posOffset>
          </wp:positionV>
          <wp:extent cx="647700" cy="542925"/>
          <wp:effectExtent l="0" t="0" r="0" b="0"/>
          <wp:wrapSquare wrapText="bothSides"/>
          <wp:docPr id="1" name="Imagem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logo"/>
                  <pic:cNvPicPr>
                    <a:picLocks noChangeAspect="1" noChangeArrowheads="1"/>
                  </pic:cNvPicPr>
                </pic:nvPicPr>
                <pic:blipFill>
                  <a:blip r:embed="rId1"/>
                  <a:stretch>
                    <a:fillRect/>
                  </a:stretch>
                </pic:blipFill>
                <pic:spPr bwMode="auto">
                  <a:xfrm>
                    <a:off x="0" y="0"/>
                    <a:ext cx="647700" cy="542925"/>
                  </a:xfrm>
                  <a:prstGeom prst="rect">
                    <a:avLst/>
                  </a:prstGeom>
                </pic:spPr>
              </pic:pic>
            </a:graphicData>
          </a:graphic>
        </wp:anchor>
      </w:drawing>
    </w:r>
  </w:p>
  <w:p>
    <w:pPr>
      <w:pStyle w:val="Normal"/>
      <w:jc w:val="center"/>
      <w:rPr>
        <w:rFonts w:ascii="Arial Narrow" w:hAnsi="Arial Narrow"/>
        <w:b/>
        <w:sz w:val="20"/>
      </w:rPr>
    </w:pPr>
    <w:r>
      <w:rPr>
        <w:rFonts w:ascii="Verdana" w:hAnsi="Verdana"/>
        <w:sz w:val="26"/>
        <w:szCs w:val="26"/>
      </w:rPr>
      <w:t>PREFEITURA MUNICIPAL DE SÃO GABRIEL DA PALHA</w:t>
    </w:r>
    <w:r>
      <w:rPr>
        <w:rFonts w:ascii="Calibri" w:hAnsi="Calibri"/>
        <w:sz w:val="16"/>
        <w:szCs w:val="16"/>
      </w:rPr>
      <w:br/>
      <w:t>ESTADO DO ESPÍRITO SANTO</w:t>
    </w:r>
    <w:r>
      <w:rPr>
        <w:rFonts w:ascii="Verdana" w:hAnsi="Verdana"/>
        <w:b/>
        <w:sz w:val="22"/>
        <w:szCs w:val="22"/>
      </w:rPr>
      <w:t xml:space="preserve"> </w:t>
    </w:r>
    <w:r>
      <w:rPr>
        <w:rFonts w:ascii="Arial Narrow" w:hAnsi="Arial Narrow"/>
        <w:b/>
        <w:sz w:val="20"/>
      </w:rPr>
      <w:br/>
      <w:t>Departamento De Compras e Contratos</w:t>
    </w:r>
  </w:p>
  <w:p>
    <w:pPr>
      <w:pStyle w:val="Normal"/>
      <w:jc w:val="center"/>
      <w:rPr>
        <w:rFonts w:ascii="Arial Narrow" w:hAnsi="Arial Narrow"/>
        <w:b/>
        <w:sz w:val="20"/>
      </w:rPr>
    </w:pPr>
    <w:r>
      <w:rPr>
        <w:rFonts w:ascii="Arial Narrow" w:hAnsi="Arial Narrow"/>
        <w:b/>
        <w:sz w:val="20"/>
      </w:rPr>
    </w:r>
  </w:p>
</w:hdr>
</file>

<file path=word/settings.xml><?xml version="1.0" encoding="utf-8"?>
<w:settings xmlns:w="http://schemas.openxmlformats.org/wordprocessingml/2006/main">
  <w:zoom w:percent="100"/>
  <w:defaultTabStop w:val="708"/>
  <w:autoHyphenation w:val="true"/>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pt-BR" w:eastAsia="en-US" w:bidi="ar-SA"/>
      </w:rPr>
    </w:rPrDefault>
    <w:pPrDefault>
      <w:pPr>
        <w:suppressAutoHyphens w:val="true"/>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uiPriority="10" w:semiHidden="0" w:unhideWhenUsed="0" w:qFormat="1"/>
    <w:lsdException w:name="Default Paragraph Font" w:uiPriority="1"/>
    <w:lsdException w:name="Body Text" w:uiPriority="0"/>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3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0"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rsid w:val="002e18ec"/>
    <w:pPr>
      <w:widowControl/>
      <w:suppressAutoHyphens w:val="true"/>
      <w:bidi w:val="0"/>
      <w:spacing w:before="0" w:after="0"/>
      <w:jc w:val="left"/>
    </w:pPr>
    <w:rPr>
      <w:rFonts w:ascii="Times New Roman" w:hAnsi="Times New Roman" w:eastAsia="Times New Roman" w:cs="Times New Roman"/>
      <w:color w:val="auto"/>
      <w:kern w:val="0"/>
      <w:sz w:val="24"/>
      <w:szCs w:val="20"/>
      <w:lang w:val="pt-BR" w:eastAsia="pt-BR" w:bidi="ar-SA"/>
    </w:rPr>
  </w:style>
  <w:style w:type="paragraph" w:styleId="Ttulo1">
    <w:name w:val="Heading 1"/>
    <w:basedOn w:val="Normal"/>
    <w:next w:val="Normal"/>
    <w:link w:val="Ttulo1Char"/>
    <w:uiPriority w:val="9"/>
    <w:qFormat/>
    <w:rsid w:val="00537254"/>
    <w:pPr>
      <w:keepNext w:val="true"/>
      <w:keepLines/>
      <w:spacing w:before="480" w:after="0"/>
      <w:outlineLvl w:val="0"/>
    </w:pPr>
    <w:rPr>
      <w:rFonts w:ascii="Cambria" w:hAnsi="Cambria" w:eastAsia="" w:cs="" w:asciiTheme="majorHAnsi" w:cstheme="majorBidi" w:eastAsiaTheme="majorEastAsia" w:hAnsiTheme="majorHAnsi"/>
      <w:b/>
      <w:bCs/>
      <w:color w:val="365F91" w:themeColor="accent1" w:themeShade="bf"/>
      <w:sz w:val="28"/>
      <w:szCs w:val="28"/>
    </w:rPr>
  </w:style>
  <w:style w:type="character" w:styleId="DefaultParagraphFont" w:default="1">
    <w:name w:val="Default Paragraph Font"/>
    <w:uiPriority w:val="1"/>
    <w:semiHidden/>
    <w:unhideWhenUsed/>
    <w:qFormat/>
    <w:rPr/>
  </w:style>
  <w:style w:type="character" w:styleId="Pagenumber">
    <w:name w:val="page number"/>
    <w:basedOn w:val="DefaultParagraphFont"/>
    <w:qFormat/>
    <w:rsid w:val="002e18ec"/>
    <w:rPr/>
  </w:style>
  <w:style w:type="character" w:styleId="CabealhoChar" w:customStyle="1">
    <w:name w:val="Cabeçalho Char"/>
    <w:basedOn w:val="DefaultParagraphFont"/>
    <w:qFormat/>
    <w:rsid w:val="002e18ec"/>
    <w:rPr>
      <w:rFonts w:ascii="Times New Roman" w:hAnsi="Times New Roman" w:eastAsia="Times New Roman" w:cs="Times New Roman"/>
      <w:sz w:val="24"/>
      <w:szCs w:val="20"/>
      <w:lang w:eastAsia="pt-BR"/>
    </w:rPr>
  </w:style>
  <w:style w:type="character" w:styleId="RodapChar" w:customStyle="1">
    <w:name w:val="Rodapé Char"/>
    <w:basedOn w:val="DefaultParagraphFont"/>
    <w:qFormat/>
    <w:rsid w:val="002e18ec"/>
    <w:rPr>
      <w:rFonts w:ascii="Times New Roman" w:hAnsi="Times New Roman" w:eastAsia="Times New Roman" w:cs="Times New Roman"/>
      <w:sz w:val="24"/>
      <w:szCs w:val="20"/>
      <w:lang w:eastAsia="pt-BR"/>
    </w:rPr>
  </w:style>
  <w:style w:type="character" w:styleId="A6" w:customStyle="1">
    <w:name w:val="A6"/>
    <w:qFormat/>
    <w:rPr>
      <w:color w:val="000000"/>
      <w:sz w:val="18"/>
      <w:u w:val="single"/>
    </w:rPr>
  </w:style>
  <w:style w:type="character" w:styleId="LinkdaInternet" w:customStyle="1">
    <w:name w:val="Hyperlink"/>
    <w:rPr>
      <w:color w:val="000080"/>
      <w:u w:val="single"/>
    </w:rPr>
  </w:style>
  <w:style w:type="character" w:styleId="CorpodetextoChar" w:customStyle="1">
    <w:name w:val="Corpo de texto Char"/>
    <w:basedOn w:val="DefaultParagraphFont"/>
    <w:qFormat/>
    <w:rsid w:val="004568f3"/>
    <w:rPr>
      <w:rFonts w:ascii="Times New Roman" w:hAnsi="Times New Roman" w:eastAsia="Times New Roman" w:cs="Times New Roman"/>
      <w:sz w:val="24"/>
      <w:szCs w:val="20"/>
      <w:lang w:eastAsia="pt-BR"/>
    </w:rPr>
  </w:style>
  <w:style w:type="character" w:styleId="CitaoChar" w:customStyle="1">
    <w:name w:val="Citação Char"/>
    <w:basedOn w:val="DefaultParagraphFont"/>
    <w:qFormat/>
    <w:rsid w:val="00537254"/>
    <w:rPr>
      <w:rFonts w:ascii="Arial" w:hAnsi="Arial" w:eastAsia="Calibri" w:cs="Tahoma"/>
      <w:i/>
      <w:iCs/>
      <w:color w:val="000000"/>
      <w:sz w:val="20"/>
      <w:szCs w:val="24"/>
      <w:shd w:fill="FFFFCC" w:val="clear"/>
    </w:rPr>
  </w:style>
  <w:style w:type="character" w:styleId="Nivel1Char" w:customStyle="1">
    <w:name w:val="Nivel1 Char"/>
    <w:basedOn w:val="DefaultParagraphFont"/>
    <w:link w:val="Nivel1"/>
    <w:qFormat/>
    <w:locked/>
    <w:rsid w:val="00537254"/>
    <w:rPr>
      <w:rFonts w:ascii="Arial" w:hAnsi="Arial" w:eastAsia="" w:cs="Arial" w:eastAsiaTheme="majorEastAsia"/>
      <w:b/>
      <w:color w:val="000000"/>
      <w:sz w:val="32"/>
      <w:szCs w:val="32"/>
    </w:rPr>
  </w:style>
  <w:style w:type="character" w:styleId="Nivel2Char" w:customStyle="1">
    <w:name w:val="Nivel 2 Char"/>
    <w:basedOn w:val="DefaultParagraphFont"/>
    <w:link w:val="Nivel2"/>
    <w:qFormat/>
    <w:locked/>
    <w:rsid w:val="00537254"/>
    <w:rPr>
      <w:rFonts w:ascii="Arial" w:hAnsi="Arial" w:cs="Arial"/>
      <w:color w:val="000000"/>
    </w:rPr>
  </w:style>
  <w:style w:type="character" w:styleId="Strong">
    <w:name w:val="Strong"/>
    <w:qFormat/>
    <w:rPr>
      <w:b/>
      <w:bCs/>
    </w:rPr>
  </w:style>
  <w:style w:type="character" w:styleId="Ttulo1Char" w:customStyle="1">
    <w:name w:val="Título 1 Char"/>
    <w:basedOn w:val="DefaultParagraphFont"/>
    <w:uiPriority w:val="9"/>
    <w:qFormat/>
    <w:rsid w:val="00537254"/>
    <w:rPr>
      <w:rFonts w:ascii="Cambria" w:hAnsi="Cambria" w:eastAsia="" w:cs="" w:asciiTheme="majorHAnsi" w:cstheme="majorBidi" w:eastAsiaTheme="majorEastAsia" w:hAnsiTheme="majorHAnsi"/>
      <w:b/>
      <w:bCs/>
      <w:color w:val="365F91" w:themeColor="accent1" w:themeShade="bf"/>
      <w:sz w:val="28"/>
      <w:szCs w:val="28"/>
      <w:lang w:eastAsia="pt-BR"/>
    </w:rPr>
  </w:style>
  <w:style w:type="character" w:styleId="Scayt-misspell-word">
    <w:name w:val="scayt-misspell-word"/>
    <w:qFormat/>
    <w:rPr/>
  </w:style>
  <w:style w:type="character" w:styleId="Apple-converted-space">
    <w:name w:val="apple-converted-space"/>
    <w:qFormat/>
    <w:rPr/>
  </w:style>
  <w:style w:type="character" w:styleId="QuoteChar">
    <w:name w:val="Quote Char"/>
    <w:qFormat/>
    <w:rPr>
      <w:rFonts w:ascii="Ecofont_Spranq_eco_Sans" w:hAnsi="Ecofont_Spranq_eco_Sans" w:cs="Ecofont_Spranq_eco_Sans"/>
      <w:i/>
      <w:iCs/>
      <w:color w:val="000000"/>
      <w:sz w:val="24"/>
      <w:szCs w:val="24"/>
      <w:shd w:fill="FFFFCC" w:val="clear"/>
      <w:lang w:eastAsia="en-US"/>
    </w:rPr>
  </w:style>
  <w:style w:type="character" w:styleId="Nivel01Char">
    <w:name w:val="Nivel_01 Char"/>
    <w:qFormat/>
    <w:rPr>
      <w:rFonts w:ascii="Ecofont_Spranq_eco_Sans" w:hAnsi="Ecofont_Spranq_eco_Sans" w:eastAsia="ＭＳ ゴシック" w:cs="Times New Roman"/>
      <w:b/>
      <w:bCs/>
      <w:color w:val="365F91"/>
      <w:sz w:val="32"/>
      <w:szCs w:val="32"/>
    </w:rPr>
  </w:style>
  <w:style w:type="character" w:styleId="Nivel01Char1">
    <w:name w:val="Nivel 01 Char"/>
    <w:qFormat/>
    <w:rPr>
      <w:rFonts w:ascii="Ecofont_Spranq_eco_Sans" w:hAnsi="Ecofont_Spranq_eco_Sans" w:eastAsia="ＭＳ ゴシック"/>
      <w:b/>
      <w:bCs/>
      <w:color w:val="000000"/>
    </w:rPr>
  </w:style>
  <w:style w:type="character" w:styleId="AssuntodocomentrioChar">
    <w:name w:val="Assunto do comentário Char"/>
    <w:qFormat/>
    <w:rPr>
      <w:rFonts w:ascii="Arial" w:hAnsi="Arial" w:cs="Tahoma"/>
      <w:b/>
      <w:bCs/>
    </w:rPr>
  </w:style>
  <w:style w:type="character" w:styleId="TextodecomentrioChar">
    <w:name w:val="Texto de comentário Char"/>
    <w:qFormat/>
    <w:rPr>
      <w:rFonts w:ascii="Arial" w:hAnsi="Arial" w:cs="Tahoma"/>
    </w:rPr>
  </w:style>
  <w:style w:type="character" w:styleId="Annotationreference">
    <w:name w:val="annotation reference"/>
    <w:qFormat/>
    <w:rPr>
      <w:sz w:val="18"/>
      <w:szCs w:val="18"/>
    </w:rPr>
  </w:style>
  <w:style w:type="character" w:styleId="GradeColorida-nfase1Char">
    <w:name w:val="Grade Colorida - Ênfase 1 Char"/>
    <w:qFormat/>
    <w:rPr>
      <w:rFonts w:ascii="Ecofont_Spranq_eco_Sans" w:hAnsi="Ecofont_Spranq_eco_Sans" w:eastAsia="Calibri"/>
      <w:i/>
      <w:iCs/>
      <w:color w:val="000000"/>
      <w:szCs w:val="24"/>
      <w:shd w:fill="FFFFCC" w:val="clear"/>
      <w:lang w:val="x-none" w:eastAsia="en-US"/>
    </w:rPr>
  </w:style>
  <w:style w:type="character" w:styleId="Citao2Char">
    <w:name w:val="citação 2 Char"/>
    <w:qFormat/>
    <w:rPr>
      <w:rFonts w:ascii="Ecofont_Spranq_eco_Sans" w:hAnsi="Ecofont_Spranq_eco_Sans" w:eastAsia="Calibri" w:cs="Tahoma"/>
      <w:i/>
      <w:iCs/>
      <w:color w:val="000000"/>
      <w:shd w:fill="FFFFCC" w:val="clear"/>
      <w:lang w:eastAsia="en-US"/>
    </w:rPr>
  </w:style>
  <w:style w:type="character" w:styleId="Apple-style-span">
    <w:name w:val="apple-style-span"/>
    <w:qFormat/>
    <w:rPr/>
  </w:style>
  <w:style w:type="character" w:styleId="Normalchar1">
    <w:name w:val="normal__char1"/>
    <w:qFormat/>
    <w:rPr>
      <w:rFonts w:ascii="Arial" w:hAnsi="Arial" w:cs="Arial"/>
      <w:strike w:val="false"/>
      <w:dstrike w:val="false"/>
      <w:sz w:val="24"/>
      <w:szCs w:val="24"/>
      <w:u w:val="none"/>
      <w:effect w:val="none"/>
    </w:rPr>
  </w:style>
  <w:style w:type="character" w:styleId="Ttulo2Char">
    <w:name w:val="Título 2 Char"/>
    <w:qFormat/>
    <w:rPr>
      <w:b/>
      <w:color w:val="000000"/>
      <w:sz w:val="24"/>
    </w:rPr>
  </w:style>
  <w:style w:type="character" w:styleId="TextodebaloChar">
    <w:name w:val="Texto de balão Char"/>
    <w:qFormat/>
    <w:rPr>
      <w:rFonts w:ascii="Tahoma" w:hAnsi="Tahoma" w:cs="Tahoma"/>
      <w:sz w:val="16"/>
      <w:szCs w:val="16"/>
    </w:rPr>
  </w:style>
  <w:style w:type="character" w:styleId="WW8Num1z4">
    <w:name w:val="WW8Num1z4"/>
    <w:qFormat/>
    <w:rPr/>
  </w:style>
  <w:style w:type="character" w:styleId="WW8Num1z5">
    <w:name w:val="WW8Num1z5"/>
    <w:qFormat/>
    <w:rPr/>
  </w:style>
  <w:style w:type="character" w:styleId="WW8Num1z6">
    <w:name w:val="WW8Num1z6"/>
    <w:qFormat/>
    <w:rPr/>
  </w:style>
  <w:style w:type="character" w:styleId="WW8Num1z7">
    <w:name w:val="WW8Num1z7"/>
    <w:qFormat/>
    <w:rPr/>
  </w:style>
  <w:style w:type="character" w:styleId="WW8Num1z8">
    <w:name w:val="WW8Num1z8"/>
    <w:qFormat/>
    <w:rPr/>
  </w:style>
  <w:style w:type="character" w:styleId="WW8Num2z4">
    <w:name w:val="WW8Num2z4"/>
    <w:qFormat/>
    <w:rPr/>
  </w:style>
  <w:style w:type="character" w:styleId="WW8Num2z5">
    <w:name w:val="WW8Num2z5"/>
    <w:qFormat/>
    <w:rPr/>
  </w:style>
  <w:style w:type="character" w:styleId="WW8Num2z6">
    <w:name w:val="WW8Num2z6"/>
    <w:qFormat/>
    <w:rPr/>
  </w:style>
  <w:style w:type="character" w:styleId="WW8Num2z7">
    <w:name w:val="WW8Num2z7"/>
    <w:qFormat/>
    <w:rPr/>
  </w:style>
  <w:style w:type="character" w:styleId="WW8Num2z8">
    <w:name w:val="WW8Num2z8"/>
    <w:qFormat/>
    <w:rPr/>
  </w:style>
  <w:style w:type="character" w:styleId="Ttulo3Char">
    <w:name w:val="Título 3 Char"/>
    <w:qFormat/>
    <w:rPr>
      <w:rFonts w:ascii="Arial" w:hAnsi="Arial" w:eastAsia="Times New Roman" w:cs="Arial"/>
      <w:b/>
      <w:bCs/>
      <w:sz w:val="26"/>
      <w:szCs w:val="26"/>
    </w:rPr>
  </w:style>
  <w:style w:type="character" w:styleId="Ttulo7Char">
    <w:name w:val="Título 7 Char"/>
    <w:qFormat/>
    <w:rPr>
      <w:rFonts w:ascii="Cambria" w:hAnsi="Cambria" w:eastAsia="Calibri" w:cs="Tahoma"/>
      <w:i/>
      <w:iCs/>
      <w:color w:val="404040"/>
      <w:sz w:val="24"/>
      <w:szCs w:val="24"/>
    </w:rPr>
  </w:style>
  <w:style w:type="character" w:styleId="NormalWebChar">
    <w:name w:val="Normal (Web) Char"/>
    <w:qFormat/>
    <w:rPr>
      <w:rFonts w:ascii="Times New Roman" w:hAnsi="Times New Roman" w:eastAsia="Times New Roman" w:cs="Times New Roman"/>
      <w:sz w:val="24"/>
      <w:szCs w:val="24"/>
    </w:rPr>
  </w:style>
  <w:style w:type="character" w:styleId="PargrafoNormalChar">
    <w:name w:val="Parágrafo Normal Char"/>
    <w:qFormat/>
    <w:rPr>
      <w:rFonts w:ascii="Times New Roman" w:hAnsi="Times New Roman" w:eastAsia="Times New Roman" w:cs="Times New Roman"/>
      <w:sz w:val="24"/>
      <w:szCs w:val="24"/>
    </w:rPr>
  </w:style>
  <w:style w:type="character" w:styleId="Hyperlink1">
    <w:name w:val="Hyperlink1"/>
    <w:qFormat/>
    <w:rPr>
      <w:color w:val="000080"/>
      <w:u w:val="single"/>
    </w:rPr>
  </w:style>
  <w:style w:type="character" w:styleId="Fontecinza1">
    <w:name w:val="fonte_cinza1"/>
    <w:qFormat/>
    <w:rPr>
      <w:rFonts w:ascii="Verdana" w:hAnsi="Verdana" w:cs="Verdana"/>
      <w:color w:val="333333"/>
      <w:sz w:val="15"/>
      <w:szCs w:val="15"/>
    </w:rPr>
  </w:style>
  <w:style w:type="character" w:styleId="Fontepargpadro">
    <w:name w:val="Fonte parág. padrão"/>
    <w:qFormat/>
    <w:rPr/>
  </w:style>
  <w:style w:type="character" w:styleId="WW8Num6z1">
    <w:name w:val="WW8Num6z1"/>
    <w:qFormat/>
    <w:rPr>
      <w:rFonts w:ascii="Courier New" w:hAnsi="Courier New" w:cs="Courier New"/>
    </w:rPr>
  </w:style>
  <w:style w:type="character" w:styleId="WW8Num5z1">
    <w:name w:val="WW8Num5z1"/>
    <w:qFormat/>
    <w:rPr>
      <w:rFonts w:ascii="Courier New" w:hAnsi="Courier New" w:cs="Courier New"/>
    </w:rPr>
  </w:style>
  <w:style w:type="character" w:styleId="WW8Num4z1">
    <w:name w:val="WW8Num4z1"/>
    <w:qFormat/>
    <w:rPr>
      <w:rFonts w:ascii="Courier New" w:hAnsi="Courier New" w:cs="Courier New"/>
    </w:rPr>
  </w:style>
  <w:style w:type="character" w:styleId="WW8Num3z1">
    <w:name w:val="WW8Num3z1"/>
    <w:qFormat/>
    <w:rPr>
      <w:rFonts w:ascii="Courier New" w:hAnsi="Courier New" w:cs="Courier New"/>
    </w:rPr>
  </w:style>
  <w:style w:type="character" w:styleId="WW8Num2z1">
    <w:name w:val="WW8Num2z1"/>
    <w:qFormat/>
    <w:rPr>
      <w:rFonts w:ascii="Courier New" w:hAnsi="Courier New" w:cs="Courier New"/>
    </w:rPr>
  </w:style>
  <w:style w:type="character" w:styleId="WW8Num1z1">
    <w:name w:val="WW8Num1z1"/>
    <w:qFormat/>
    <w:rPr>
      <w:rFonts w:ascii="Courier New" w:hAnsi="Courier New" w:cs="Courier New"/>
    </w:rPr>
  </w:style>
  <w:style w:type="paragraph" w:styleId="Ttulo">
    <w:name w:val="Título"/>
    <w:basedOn w:val="Normal"/>
    <w:next w:val="Corpodotexto"/>
    <w:qFormat/>
    <w:pPr>
      <w:keepNext w:val="true"/>
      <w:spacing w:before="240" w:after="120"/>
    </w:pPr>
    <w:rPr>
      <w:rFonts w:ascii="Liberation Sans" w:hAnsi="Liberation Sans" w:eastAsia="Microsoft YaHei" w:cs="Lucida Sans"/>
      <w:sz w:val="28"/>
      <w:szCs w:val="28"/>
    </w:rPr>
  </w:style>
  <w:style w:type="paragraph" w:styleId="Corpodotexto">
    <w:name w:val="Body Text"/>
    <w:basedOn w:val="Normal"/>
    <w:link w:val="CorpodetextoChar"/>
    <w:pPr>
      <w:spacing w:lineRule="auto" w:line="276" w:before="0" w:after="140"/>
    </w:pPr>
    <w:rPr/>
  </w:style>
  <w:style w:type="paragraph" w:styleId="Lista">
    <w:name w:val="List"/>
    <w:basedOn w:val="Corpodotexto"/>
    <w:pPr/>
    <w:rPr>
      <w:rFonts w:cs="Lucida Sans"/>
    </w:rPr>
  </w:style>
  <w:style w:type="paragraph" w:styleId="Legenda">
    <w:name w:val="Caption"/>
    <w:basedOn w:val="Normal"/>
    <w:qFormat/>
    <w:pPr>
      <w:suppressLineNumbers/>
      <w:spacing w:before="120" w:after="120"/>
    </w:pPr>
    <w:rPr>
      <w:rFonts w:cs="Lucida Sans"/>
      <w:i/>
      <w:iCs/>
      <w:sz w:val="24"/>
      <w:szCs w:val="24"/>
    </w:rPr>
  </w:style>
  <w:style w:type="paragraph" w:styleId="Ndice" w:customStyle="1">
    <w:name w:val="Índice"/>
    <w:basedOn w:val="Normal"/>
    <w:qFormat/>
    <w:pPr>
      <w:suppressLineNumbers/>
    </w:pPr>
    <w:rPr>
      <w:rFonts w:cs="Lucida Sans"/>
    </w:rPr>
  </w:style>
  <w:style w:type="paragraph" w:styleId="Ttulododocumento">
    <w:name w:val="Title"/>
    <w:basedOn w:val="Normal"/>
    <w:next w:val="Corpodotexto"/>
    <w:qFormat/>
    <w:pPr>
      <w:keepNext w:val="true"/>
      <w:spacing w:before="240" w:after="120"/>
    </w:pPr>
    <w:rPr>
      <w:rFonts w:ascii="Liberation Sans" w:hAnsi="Liberation Sans" w:eastAsia="Microsoft YaHei" w:cs="Lucida Sans"/>
      <w:sz w:val="28"/>
      <w:szCs w:val="28"/>
    </w:rPr>
  </w:style>
  <w:style w:type="paragraph" w:styleId="Caption">
    <w:name w:val="caption"/>
    <w:basedOn w:val="Normal"/>
    <w:qFormat/>
    <w:pPr>
      <w:suppressLineNumbers/>
      <w:spacing w:before="120" w:after="120"/>
    </w:pPr>
    <w:rPr>
      <w:rFonts w:cs="Lucida Sans"/>
      <w:i/>
      <w:iCs/>
      <w:szCs w:val="24"/>
    </w:rPr>
  </w:style>
  <w:style w:type="paragraph" w:styleId="CabealhoeRodap" w:customStyle="1">
    <w:name w:val="Cabeçalho e Rodapé"/>
    <w:basedOn w:val="Normal"/>
    <w:qFormat/>
    <w:pPr/>
    <w:rPr/>
  </w:style>
  <w:style w:type="paragraph" w:styleId="Cabealho">
    <w:name w:val="Header"/>
    <w:basedOn w:val="Normal"/>
    <w:link w:val="CabealhoChar"/>
    <w:rsid w:val="002e18ec"/>
    <w:pPr>
      <w:tabs>
        <w:tab w:val="clear" w:pos="708"/>
        <w:tab w:val="center" w:pos="4419" w:leader="none"/>
        <w:tab w:val="right" w:pos="8838" w:leader="none"/>
      </w:tabs>
    </w:pPr>
    <w:rPr/>
  </w:style>
  <w:style w:type="paragraph" w:styleId="Rodap">
    <w:name w:val="Footer"/>
    <w:basedOn w:val="Normal"/>
    <w:link w:val="RodapChar"/>
    <w:rsid w:val="002e18ec"/>
    <w:pPr>
      <w:tabs>
        <w:tab w:val="clear" w:pos="708"/>
        <w:tab w:val="center" w:pos="4419" w:leader="none"/>
        <w:tab w:val="right" w:pos="8838" w:leader="none"/>
      </w:tabs>
    </w:pPr>
    <w:rPr/>
  </w:style>
  <w:style w:type="paragraph" w:styleId="ListParagraph">
    <w:name w:val="List Paragraph"/>
    <w:basedOn w:val="Normal"/>
    <w:uiPriority w:val="34"/>
    <w:qFormat/>
    <w:rsid w:val="007a2726"/>
    <w:pPr>
      <w:spacing w:before="0" w:after="0"/>
      <w:ind w:left="720" w:hanging="0"/>
      <w:contextualSpacing/>
    </w:pPr>
    <w:rPr/>
  </w:style>
  <w:style w:type="paragraph" w:styleId="Tabelanormal1" w:customStyle="1">
    <w:name w:val="Tabela normal1"/>
    <w:qFormat/>
    <w:pPr>
      <w:widowControl/>
      <w:suppressAutoHyphens w:val="true"/>
      <w:bidi w:val="0"/>
      <w:spacing w:lineRule="auto" w:line="276" w:before="0" w:after="200"/>
      <w:jc w:val="left"/>
    </w:pPr>
    <w:rPr>
      <w:rFonts w:ascii="Times New Roman" w:hAnsi="Times New Roman" w:eastAsia="Tahoma" w:cs="Times New Roman"/>
      <w:color w:val="auto"/>
      <w:kern w:val="0"/>
      <w:sz w:val="20"/>
      <w:szCs w:val="20"/>
      <w:lang w:val="pt-BR" w:eastAsia="pt-BR" w:bidi="ar-SA"/>
    </w:rPr>
  </w:style>
  <w:style w:type="paragraph" w:styleId="Quote">
    <w:name w:val="Quote"/>
    <w:basedOn w:val="Normal"/>
    <w:next w:val="Normal"/>
    <w:link w:val="CitaoChar"/>
    <w:qFormat/>
    <w:rsid w:val="00537254"/>
    <w:pPr>
      <w:pBdr>
        <w:top w:val="single" w:sz="4" w:space="1" w:color="1F497D"/>
        <w:left w:val="single" w:sz="4" w:space="4" w:color="1F497D"/>
        <w:bottom w:val="single" w:sz="4" w:space="1" w:color="1F497D"/>
        <w:right w:val="single" w:sz="4" w:space="4" w:color="1F497D"/>
      </w:pBdr>
      <w:shd w:val="clear" w:color="auto" w:fill="FFFFCC"/>
      <w:suppressAutoHyphens w:val="false"/>
      <w:spacing w:before="120" w:after="0"/>
      <w:jc w:val="both"/>
    </w:pPr>
    <w:rPr>
      <w:rFonts w:ascii="Arial" w:hAnsi="Arial" w:eastAsia="Calibri" w:cs="Tahoma"/>
      <w:i/>
      <w:iCs/>
      <w:color w:val="000000"/>
      <w:sz w:val="20"/>
      <w:szCs w:val="24"/>
      <w:lang w:eastAsia="en-US"/>
    </w:rPr>
  </w:style>
  <w:style w:type="paragraph" w:styleId="Nivel1" w:customStyle="1">
    <w:name w:val="Nivel1"/>
    <w:basedOn w:val="Ttulo1"/>
    <w:next w:val="Normal"/>
    <w:link w:val="Nivel1Char"/>
    <w:qFormat/>
    <w:rsid w:val="00537254"/>
    <w:pPr>
      <w:suppressAutoHyphens w:val="false"/>
      <w:spacing w:lineRule="auto" w:line="276" w:before="480" w:after="120"/>
      <w:jc w:val="both"/>
      <w:outlineLvl w:val="9"/>
    </w:pPr>
    <w:rPr>
      <w:rFonts w:ascii="Arial" w:hAnsi="Arial" w:cs="Arial"/>
      <w:bCs w:val="false"/>
      <w:color w:val="000000"/>
      <w:sz w:val="32"/>
      <w:szCs w:val="32"/>
      <w:lang w:eastAsia="en-US"/>
    </w:rPr>
  </w:style>
  <w:style w:type="paragraph" w:styleId="Standard" w:customStyle="1">
    <w:name w:val="Standard"/>
    <w:qFormat/>
    <w:rsid w:val="00537254"/>
    <w:pPr>
      <w:widowControl/>
      <w:suppressAutoHyphens w:val="true"/>
      <w:bidi w:val="0"/>
      <w:spacing w:before="0" w:after="0"/>
      <w:jc w:val="left"/>
    </w:pPr>
    <w:rPr>
      <w:rFonts w:ascii="Liberation Serif" w:hAnsi="Liberation Serif" w:eastAsia="NSimSun" w:cs="Lucida Sans"/>
      <w:color w:val="auto"/>
      <w:kern w:val="2"/>
      <w:sz w:val="24"/>
      <w:szCs w:val="24"/>
      <w:lang w:val="pt-BR" w:eastAsia="zh-CN" w:bidi="hi-IN"/>
    </w:rPr>
  </w:style>
  <w:style w:type="paragraph" w:styleId="Citao2" w:customStyle="1">
    <w:name w:val="citação 2"/>
    <w:basedOn w:val="Quote"/>
    <w:qFormat/>
    <w:rsid w:val="00537254"/>
    <w:pPr>
      <w:suppressAutoHyphens w:val="true"/>
    </w:pPr>
    <w:rPr>
      <w:kern w:val="2"/>
      <w:szCs w:val="20"/>
      <w:lang w:eastAsia="zh-CN" w:bidi="hi-IN"/>
    </w:rPr>
  </w:style>
  <w:style w:type="paragraph" w:styleId="Nivel2" w:customStyle="1">
    <w:name w:val="Nivel 2"/>
    <w:basedOn w:val="Normal"/>
    <w:link w:val="Nivel2Char"/>
    <w:qFormat/>
    <w:rsid w:val="00537254"/>
    <w:pPr>
      <w:suppressAutoHyphens w:val="false"/>
      <w:spacing w:lineRule="auto" w:line="276" w:before="120" w:after="120"/>
      <w:jc w:val="both"/>
    </w:pPr>
    <w:rPr>
      <w:rFonts w:ascii="Arial" w:hAnsi="Arial" w:eastAsia="Calibri" w:cs="Arial" w:eastAsiaTheme="minorHAnsi"/>
      <w:color w:val="000000"/>
      <w:sz w:val="22"/>
      <w:szCs w:val="22"/>
      <w:lang w:eastAsia="en-US"/>
    </w:rPr>
  </w:style>
  <w:style w:type="paragraph" w:styleId="Nivel3" w:customStyle="1">
    <w:name w:val="Nivel 3"/>
    <w:basedOn w:val="ListParagraph"/>
    <w:qFormat/>
    <w:rsid w:val="00537254"/>
    <w:pPr>
      <w:tabs>
        <w:tab w:val="clear" w:pos="708"/>
        <w:tab w:val="left" w:pos="360" w:leader="none"/>
      </w:tabs>
      <w:suppressAutoHyphens w:val="false"/>
      <w:spacing w:lineRule="auto" w:line="276" w:before="120" w:after="120"/>
      <w:ind w:left="425" w:hanging="0"/>
      <w:contextualSpacing/>
      <w:jc w:val="both"/>
    </w:pPr>
    <w:rPr>
      <w:rFonts w:ascii="Arial" w:hAnsi="Arial" w:cs="Arial"/>
      <w:sz w:val="20"/>
    </w:rPr>
  </w:style>
  <w:style w:type="paragraph" w:styleId="TableParagraph">
    <w:name w:val="Table Paragraph"/>
    <w:basedOn w:val="Normal"/>
    <w:qFormat/>
    <w:pPr>
      <w:widowControl w:val="false"/>
      <w:suppressAutoHyphens w:val="false"/>
    </w:pPr>
    <w:rPr>
      <w:rFonts w:ascii="Calibri" w:hAnsi="Calibri" w:eastAsia="Calibri" w:cs="Calibri"/>
      <w:sz w:val="22"/>
      <w:szCs w:val="22"/>
      <w:lang w:val="pt-PT" w:eastAsia="en-US"/>
    </w:rPr>
  </w:style>
  <w:style w:type="paragraph" w:styleId="PADRO">
    <w:name w:val="PADRÃO"/>
    <w:qFormat/>
    <w:pPr>
      <w:keepNext w:val="true"/>
      <w:widowControl w:val="false"/>
      <w:shd w:fill="FFFFFF"/>
      <w:suppressAutoHyphens w:val="true"/>
      <w:bidi w:val="0"/>
      <w:spacing w:lineRule="auto" w:line="276" w:before="119" w:after="119"/>
      <w:ind w:firstLine="567"/>
      <w:jc w:val="both"/>
      <w:textAlignment w:val="baseline"/>
    </w:pPr>
    <w:rPr>
      <w:rFonts w:ascii="Ecofont_Spranq_eco_Sans" w:hAnsi="Ecofont_Spranq_eco_Sans" w:eastAsia="WenQuanYi Micro Hei" w:cs="Lohit Hindi"/>
      <w:color w:val="auto"/>
      <w:kern w:val="0"/>
      <w:sz w:val="24"/>
      <w:szCs w:val="24"/>
      <w:lang w:val="pt-BR" w:eastAsia="zh-CN" w:bidi="hi-IN"/>
    </w:rPr>
  </w:style>
  <w:style w:type="paragraph" w:styleId="Default">
    <w:name w:val="Default"/>
    <w:qFormat/>
    <w:pPr>
      <w:widowControl/>
      <w:suppressAutoHyphens w:val="true"/>
      <w:bidi w:val="0"/>
      <w:spacing w:before="0" w:after="0"/>
      <w:jc w:val="left"/>
    </w:pPr>
    <w:rPr>
      <w:rFonts w:ascii="Times New Roman" w:hAnsi="Times New Roman" w:eastAsia="Times New Roman" w:cs="Times New Roman"/>
      <w:color w:val="000000"/>
      <w:kern w:val="0"/>
      <w:sz w:val="24"/>
      <w:szCs w:val="24"/>
      <w:lang w:val="pt-BR" w:eastAsia="zh-CN" w:bidi="ar-SA"/>
    </w:rPr>
  </w:style>
  <w:style w:type="paragraph" w:styleId="PargrafodaLista">
    <w:name w:val="Parágrafo da Lista"/>
    <w:basedOn w:val="Normal"/>
    <w:qFormat/>
    <w:pPr>
      <w:spacing w:lineRule="auto" w:line="276" w:before="0" w:after="200"/>
      <w:ind w:left="720" w:hanging="0"/>
      <w:contextualSpacing/>
    </w:pPr>
    <w:rPr>
      <w:rFonts w:ascii="Calibri" w:hAnsi="Calibri" w:eastAsia="Calibri" w:cs="Calibri"/>
      <w:sz w:val="22"/>
      <w:szCs w:val="22"/>
    </w:rPr>
  </w:style>
  <w:style w:type="paragraph" w:styleId="Citao1">
    <w:name w:val="Citação1"/>
    <w:basedOn w:val="Normal"/>
    <w:qFormat/>
    <w:pPr>
      <w:pBdr>
        <w:top w:val="single" w:sz="4" w:space="1" w:color="1F497D"/>
        <w:left w:val="single" w:sz="4" w:space="4" w:color="1F497D"/>
        <w:bottom w:val="single" w:sz="4" w:space="1" w:color="1F497D"/>
        <w:right w:val="single" w:sz="4" w:space="4" w:color="1F497D"/>
      </w:pBdr>
      <w:shd w:fill="FFFFCC"/>
      <w:spacing w:before="120" w:after="0"/>
      <w:jc w:val="both"/>
    </w:pPr>
    <w:rPr>
      <w:rFonts w:ascii="Ecofont_Spranq_eco_Sans" w:hAnsi="Ecofont_Spranq_eco_Sans" w:cs="Ecofont_Spranq_eco_Sans"/>
      <w:i/>
      <w:iCs/>
      <w:color w:val="000000"/>
      <w:shd w:fill="FFFFCC" w:val="clear"/>
      <w:lang w:eastAsia="en-US"/>
    </w:rPr>
  </w:style>
  <w:style w:type="paragraph" w:styleId="Nivel5">
    <w:name w:val="Nivel 5"/>
    <w:qFormat/>
    <w:pPr>
      <w:widowControl/>
      <w:tabs>
        <w:tab w:val="clear" w:pos="708"/>
        <w:tab w:val="left" w:pos="360" w:leader="none"/>
      </w:tabs>
      <w:suppressAutoHyphens w:val="true"/>
      <w:bidi w:val="0"/>
      <w:spacing w:lineRule="auto" w:line="276" w:before="120" w:after="120"/>
      <w:ind w:left="3485" w:hanging="0"/>
      <w:jc w:val="both"/>
    </w:pPr>
    <w:rPr>
      <w:rFonts w:ascii="Ecofont_Spranq_eco_Sans" w:hAnsi="Ecofont_Spranq_eco_Sans" w:eastAsia="Arial Unicode MS" w:cs="Arial"/>
      <w:color w:val="auto"/>
      <w:kern w:val="0"/>
      <w:sz w:val="22"/>
      <w:szCs w:val="22"/>
      <w:lang w:val="pt-BR" w:eastAsia="en-US" w:bidi="ar-SA"/>
    </w:rPr>
  </w:style>
  <w:style w:type="paragraph" w:styleId="Nivel4">
    <w:name w:val="Nivel 4"/>
    <w:qFormat/>
    <w:pPr>
      <w:widowControl/>
      <w:tabs>
        <w:tab w:val="clear" w:pos="708"/>
        <w:tab w:val="left" w:pos="360" w:leader="none"/>
      </w:tabs>
      <w:suppressAutoHyphens w:val="true"/>
      <w:bidi w:val="0"/>
      <w:spacing w:lineRule="auto" w:line="276" w:before="120" w:after="120"/>
      <w:ind w:left="2491" w:hanging="0"/>
      <w:jc w:val="both"/>
    </w:pPr>
    <w:rPr>
      <w:rFonts w:ascii="Ecofont_Spranq_eco_Sans" w:hAnsi="Ecofont_Spranq_eco_Sans" w:eastAsia="Arial Unicode MS" w:cs="Arial"/>
      <w:color w:val="auto"/>
      <w:kern w:val="0"/>
      <w:sz w:val="22"/>
      <w:szCs w:val="22"/>
      <w:lang w:val="pt-BR" w:eastAsia="en-US" w:bidi="ar-SA"/>
    </w:rPr>
  </w:style>
  <w:style w:type="paragraph" w:styleId="Nivel11">
    <w:name w:val="Nivel 1"/>
    <w:qFormat/>
    <w:pPr>
      <w:widowControl/>
      <w:tabs>
        <w:tab w:val="clear" w:pos="708"/>
        <w:tab w:val="left" w:pos="360" w:leader="none"/>
      </w:tabs>
      <w:suppressAutoHyphens w:val="true"/>
      <w:bidi w:val="0"/>
      <w:spacing w:lineRule="auto" w:line="276" w:before="120" w:after="120"/>
      <w:ind w:left="644" w:hanging="432"/>
      <w:jc w:val="both"/>
    </w:pPr>
    <w:rPr>
      <w:rFonts w:ascii="Ecofont_Spranq_eco_Sans" w:hAnsi="Ecofont_Spranq_eco_Sans" w:eastAsia="Arial Unicode MS" w:cs="Arial"/>
      <w:b/>
      <w:color w:val="auto"/>
      <w:kern w:val="0"/>
      <w:sz w:val="22"/>
      <w:szCs w:val="22"/>
      <w:lang w:val="pt-BR" w:eastAsia="en-US" w:bidi="ar-SA"/>
    </w:rPr>
  </w:style>
  <w:style w:type="paragraph" w:styleId="PargrafodaLista1">
    <w:name w:val="Parágrafo da Lista1"/>
    <w:basedOn w:val="Normal"/>
    <w:qFormat/>
    <w:pPr>
      <w:ind w:left="720" w:hanging="0"/>
    </w:pPr>
    <w:rPr>
      <w:rFonts w:ascii="Ecofont_Spranq_eco_Sans" w:hAnsi="Ecofont_Spranq_eco_Sans" w:cs="Ecofont_Spranq_eco_Sans"/>
    </w:rPr>
  </w:style>
  <w:style w:type="paragraph" w:styleId="SombreamentoMdio1-nfase31">
    <w:name w:val="Sombreamento Médio 1 - Ênfase 31"/>
    <w:basedOn w:val="Normal"/>
    <w:qFormat/>
    <w:pPr>
      <w:pBdr>
        <w:top w:val="single" w:sz="4" w:space="1" w:color="000080"/>
        <w:left w:val="single" w:sz="4" w:space="4" w:color="000080"/>
        <w:bottom w:val="single" w:sz="4" w:space="1" w:color="000080"/>
        <w:right w:val="single" w:sz="4" w:space="4" w:color="000080"/>
      </w:pBdr>
      <w:shd w:fill="FFFFCC"/>
      <w:spacing w:before="120" w:after="0"/>
      <w:jc w:val="both"/>
    </w:pPr>
    <w:rPr>
      <w:rFonts w:ascii="Ecofont_Spranq_eco_Sans" w:hAnsi="Ecofont_Spranq_eco_Sans" w:eastAsia="Calibri"/>
      <w:i/>
      <w:iCs/>
      <w:color w:val="000000"/>
    </w:rPr>
  </w:style>
  <w:style w:type="paragraph" w:styleId="Nivel01">
    <w:name w:val="Nivel_01"/>
    <w:basedOn w:val="Ttulo1"/>
    <w:qFormat/>
    <w:pPr>
      <w:keepNext w:val="true"/>
      <w:keepLines/>
      <w:tabs>
        <w:tab w:val="clear" w:pos="708"/>
        <w:tab w:val="left" w:pos="567" w:leader="none"/>
      </w:tabs>
      <w:spacing w:before="240" w:after="0"/>
      <w:jc w:val="both"/>
      <w:outlineLvl w:val="9"/>
    </w:pPr>
    <w:rPr>
      <w:rFonts w:ascii="Ecofont_Spranq_eco_Sans" w:hAnsi="Ecofont_Spranq_eco_Sans" w:eastAsia="ＭＳ ゴシック" w:cs="Times New Roman"/>
      <w:b/>
      <w:bCs/>
      <w:color w:val="365F91"/>
      <w:sz w:val="20"/>
      <w:szCs w:val="20"/>
    </w:rPr>
  </w:style>
  <w:style w:type="paragraph" w:styleId="Nivel011">
    <w:name w:val="Nivel 01"/>
    <w:basedOn w:val="Ttulo1"/>
    <w:qFormat/>
    <w:pPr>
      <w:keepNext w:val="true"/>
      <w:keepLines/>
      <w:tabs>
        <w:tab w:val="clear" w:pos="708"/>
        <w:tab w:val="left" w:pos="567" w:leader="none"/>
      </w:tabs>
      <w:spacing w:before="240" w:after="0"/>
      <w:jc w:val="both"/>
      <w:outlineLvl w:val="9"/>
    </w:pPr>
    <w:rPr>
      <w:rFonts w:ascii="Ecofont_Spranq_eco_Sans" w:hAnsi="Ecofont_Spranq_eco_Sans" w:eastAsia="ＭＳ ゴシック" w:cs="Times New Roman"/>
      <w:b/>
      <w:bCs/>
      <w:color w:val="000000"/>
      <w:sz w:val="20"/>
      <w:szCs w:val="20"/>
    </w:rPr>
  </w:style>
  <w:style w:type="paragraph" w:styleId="Annotationsubject">
    <w:name w:val="annotation subject"/>
    <w:qFormat/>
    <w:pPr>
      <w:widowControl/>
      <w:suppressAutoHyphens w:val="true"/>
      <w:bidi w:val="0"/>
      <w:spacing w:before="0" w:after="0"/>
      <w:jc w:val="left"/>
    </w:pPr>
    <w:rPr>
      <w:rFonts w:ascii="Calibri" w:hAnsi="Calibri" w:eastAsia="Calibri" w:cs="0"/>
      <w:b/>
      <w:bCs/>
      <w:color w:val="auto"/>
      <w:kern w:val="0"/>
      <w:sz w:val="20"/>
      <w:szCs w:val="20"/>
      <w:lang w:val="pt-BR" w:eastAsia="en-US" w:bidi="ar-SA"/>
    </w:rPr>
  </w:style>
  <w:style w:type="paragraph" w:styleId="Annotationtext">
    <w:name w:val="annotation text"/>
    <w:basedOn w:val="Normal"/>
    <w:qFormat/>
    <w:pPr/>
    <w:rPr/>
  </w:style>
  <w:style w:type="paragraph" w:styleId="GradeColorida-nfase11">
    <w:name w:val="Grade Colorida - Ênfase 11"/>
    <w:basedOn w:val="Normal"/>
    <w:qFormat/>
    <w:pPr>
      <w:pBdr>
        <w:top w:val="single" w:sz="4" w:space="1" w:color="1F497D"/>
        <w:left w:val="single" w:sz="4" w:space="4" w:color="1F497D"/>
        <w:bottom w:val="single" w:sz="4" w:space="1" w:color="1F497D"/>
        <w:right w:val="single" w:sz="4" w:space="4" w:color="1F497D"/>
      </w:pBdr>
      <w:shd w:fill="FFFFCC"/>
      <w:spacing w:before="120" w:after="0"/>
      <w:jc w:val="both"/>
    </w:pPr>
    <w:rPr>
      <w:rFonts w:eastAsia="Calibri" w:cs="Times New Roman"/>
      <w:i/>
      <w:iCs/>
      <w:color w:val="000000"/>
      <w:lang w:val="x-none" w:eastAsia="en-US"/>
    </w:rPr>
  </w:style>
  <w:style w:type="paragraph" w:styleId="ListBullet5">
    <w:name w:val="List Bullet 5"/>
    <w:basedOn w:val="Normal"/>
    <w:qFormat/>
    <w:pPr>
      <w:spacing w:before="0" w:after="0"/>
      <w:contextualSpacing/>
    </w:pPr>
    <w:rPr/>
  </w:style>
  <w:style w:type="paragraph" w:styleId="Nvel2">
    <w:name w:val="Nível 2"/>
    <w:basedOn w:val="Normal"/>
    <w:qFormat/>
    <w:pPr>
      <w:spacing w:before="0" w:after="120"/>
      <w:jc w:val="both"/>
    </w:pPr>
    <w:rPr>
      <w:rFonts w:cs="Times New Roman"/>
      <w:b/>
      <w:szCs w:val="20"/>
    </w:rPr>
  </w:style>
  <w:style w:type="paragraph" w:styleId="BalloonText">
    <w:name w:val="Balloon Text"/>
    <w:basedOn w:val="Normal"/>
    <w:qFormat/>
    <w:pPr/>
    <w:rPr>
      <w:rFonts w:ascii="Tahoma" w:hAnsi="Tahoma"/>
      <w:sz w:val="16"/>
      <w:szCs w:val="16"/>
    </w:rPr>
  </w:style>
  <w:style w:type="paragraph" w:styleId="NormalWeb">
    <w:name w:val="Normal (Web)"/>
    <w:basedOn w:val="Normal"/>
    <w:qFormat/>
    <w:pPr>
      <w:spacing w:beforeAutospacing="1" w:afterAutospacing="1"/>
    </w:pPr>
    <w:rPr>
      <w:rFonts w:ascii="Times New Roman" w:hAnsi="Times New Roman" w:cs="Times New Roman"/>
    </w:rPr>
  </w:style>
  <w:style w:type="paragraph" w:styleId="Contedodatabela">
    <w:name w:val="Conteúdo da tabela"/>
    <w:basedOn w:val="Normal"/>
    <w:qFormat/>
    <w:pPr/>
    <w:rPr/>
  </w:style>
  <w:style w:type="paragraph" w:styleId="Ttulodetabela">
    <w:name w:val="Título de tabela"/>
    <w:basedOn w:val="Contedodatabela"/>
    <w:qFormat/>
    <w:pPr>
      <w:suppressLineNumbers/>
      <w:jc w:val="center"/>
    </w:pPr>
    <w:rPr>
      <w:b/>
      <w:bCs/>
    </w:rPr>
  </w:style>
  <w:style w:type="paragraph" w:styleId="Ttulo11">
    <w:name w:val="Título1"/>
    <w:basedOn w:val="Normal"/>
    <w:qFormat/>
    <w:pPr>
      <w:keepNext w:val="true"/>
      <w:spacing w:before="240" w:after="120"/>
    </w:pPr>
    <w:rPr>
      <w:rFonts w:ascii="Liberation Sans" w:hAnsi="Liberation Sans" w:eastAsia="Microsoft YaHei" w:cs="Arial"/>
      <w:sz w:val="28"/>
      <w:szCs w:val="28"/>
    </w:rPr>
  </w:style>
  <w:style w:type="paragraph" w:styleId="Corpodetexto21">
    <w:name w:val="Corpo de texto 21"/>
    <w:basedOn w:val="Normal"/>
    <w:qFormat/>
    <w:pPr>
      <w:tabs>
        <w:tab w:val="clear" w:pos="708"/>
        <w:tab w:val="left" w:pos="0" w:leader="none"/>
        <w:tab w:val="left" w:pos="1134" w:leader="none"/>
      </w:tabs>
      <w:jc w:val="both"/>
      <w:textAlignment w:val="baseline"/>
    </w:pPr>
    <w:rPr>
      <w:rFonts w:ascii="Arial" w:hAnsi="Arial" w:cs="Arial"/>
      <w:szCs w:val="20"/>
    </w:rPr>
  </w:style>
  <w:style w:type="paragraph" w:styleId="NmerosPrincipais">
    <w:name w:val="Números Principais"/>
    <w:basedOn w:val="Normal"/>
    <w:qFormat/>
    <w:pPr>
      <w:spacing w:before="120" w:after="240"/>
      <w:jc w:val="both"/>
    </w:pPr>
    <w:rPr/>
  </w:style>
  <w:style w:type="paragraph" w:styleId="LetrasMultinvel">
    <w:name w:val="Letras Multinível"/>
    <w:qFormat/>
    <w:pPr>
      <w:widowControl w:val="false"/>
      <w:suppressAutoHyphens w:val="true"/>
      <w:bidi w:val="0"/>
      <w:spacing w:before="0" w:after="120"/>
      <w:jc w:val="both"/>
    </w:pPr>
    <w:rPr>
      <w:rFonts w:ascii="Liberation Serif" w:hAnsi="Liberation Serif" w:eastAsia="NSimSun" w:cs="Lucida Sans"/>
      <w:color w:val="auto"/>
      <w:kern w:val="2"/>
      <w:sz w:val="24"/>
      <w:szCs w:val="24"/>
      <w:lang w:val="pt-BR" w:eastAsia="zh-CN" w:bidi="hi-IN"/>
    </w:rPr>
  </w:style>
  <w:style w:type="paragraph" w:styleId="PargrafoNormal">
    <w:name w:val="Parágrafo Normal"/>
    <w:basedOn w:val="Normal"/>
    <w:qFormat/>
    <w:pPr>
      <w:spacing w:before="0" w:after="120"/>
      <w:jc w:val="both"/>
    </w:pPr>
    <w:rPr/>
  </w:style>
  <w:style w:type="paragraph" w:styleId="Nvel2-Red">
    <w:name w:val="Nível 2 -Red"/>
    <w:qFormat/>
    <w:pPr>
      <w:widowControl w:val="false"/>
      <w:suppressAutoHyphens w:val="true"/>
      <w:bidi w:val="0"/>
      <w:spacing w:lineRule="auto" w:line="276" w:before="120" w:after="120"/>
      <w:jc w:val="both"/>
    </w:pPr>
    <w:rPr>
      <w:rFonts w:ascii="Arial" w:hAnsi="Arial" w:eastAsia="Arial" w:cs="Arial"/>
      <w:i/>
      <w:iCs/>
      <w:color w:val="FF0000"/>
      <w:kern w:val="2"/>
      <w:sz w:val="20"/>
      <w:szCs w:val="20"/>
      <w:lang w:val="pt-BR" w:eastAsia="zh-CN" w:bidi="hi-IN"/>
    </w:rPr>
  </w:style>
  <w:style w:type="paragraph" w:styleId="Xxdefault">
    <w:name w:val="x_xdefault"/>
    <w:basedOn w:val="Normal"/>
    <w:qFormat/>
    <w:pPr>
      <w:spacing w:before="280" w:after="280"/>
    </w:pPr>
    <w:rPr/>
  </w:style>
  <w:style w:type="paragraph" w:styleId="Textodebalo">
    <w:name w:val="Texto de balão"/>
    <w:basedOn w:val="Normal"/>
    <w:qFormat/>
    <w:pPr/>
    <w:rPr>
      <w:rFonts w:ascii="Tahoma" w:hAnsi="Tahoma" w:cs="Tahoma"/>
      <w:sz w:val="16"/>
      <w:szCs w:val="16"/>
    </w:rPr>
  </w:style>
  <w:style w:type="numbering" w:styleId="NoList" w:default="1">
    <w:name w:val="No List"/>
    <w:uiPriority w:val="99"/>
    <w:semiHidden/>
    <w:unhideWhenUsed/>
    <w:qFormat/>
  </w:style>
  <w:style w:type="table" w:default="1" w:styleId="Tabelanormal">
    <w:name w:val="Normal Table"/>
    <w:uiPriority w:val="99"/>
    <w:semiHidden/>
    <w:unhideWhenUsed/>
    <w:tblPr>
      <w:tblCellMar>
        <w:top w:w="0" w:type="dxa"/>
        <w:left w:w="108" w:type="dxa"/>
        <w:bottom w:w="0" w:type="dxa"/>
        <w:right w:w="108" w:type="dxa"/>
      </w:tblCellMar>
    </w:tblPr>
  </w:style>
  <w:style w:type="table" w:styleId="Tabelacomgrade">
    <w:name w:val="Table Grid"/>
    <w:basedOn w:val="Tabelanormal"/>
    <w:uiPriority w:val="39"/>
    <w:rsid w:val="00537254"/>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s://www.planalto.gov.br/ccivil_03/leis/lcp/lcp123.htm" TargetMode="External"/><Relationship Id="rId3" Type="http://schemas.openxmlformats.org/officeDocument/2006/relationships/hyperlink" Target="http://www.portaldatransparencia.gov.br/ceis" TargetMode="External"/><Relationship Id="rId4" Type="http://schemas.openxmlformats.org/officeDocument/2006/relationships/hyperlink" Target="http://www.cnj.jus.br/improbidade_adm/consultar_requerido.php" TargetMode="External"/><Relationship Id="rId5" Type="http://schemas.openxmlformats.org/officeDocument/2006/relationships/hyperlink" Target="https://www.tcees.tc.br/portal-da-transparencia/consultas/lista-de" TargetMode="External"/><Relationship Id="rId6" Type="http://schemas.openxmlformats.org/officeDocument/2006/relationships/hyperlink" Target="https://certidoesapf.apps.tcu.gov.br/" TargetMode="External"/><Relationship Id="rId7" Type="http://schemas.openxmlformats.org/officeDocument/2006/relationships/hyperlink" Target="http://www.portaldoempreendedor.gov.br/" TargetMode="External"/><Relationship Id="rId8" Type="http://schemas.openxmlformats.org/officeDocument/2006/relationships/header" Target="header1.xml"/><Relationship Id="rId9" Type="http://schemas.openxmlformats.org/officeDocument/2006/relationships/footer" Target="footer1.xml"/><Relationship Id="rId10" Type="http://schemas.openxmlformats.org/officeDocument/2006/relationships/fontTable" Target="fontTable.xml"/><Relationship Id="rId11" Type="http://schemas.openxmlformats.org/officeDocument/2006/relationships/settings" Target="settings.xml"/><Relationship Id="rId12" Type="http://schemas.openxmlformats.org/officeDocument/2006/relationships/theme" Target="theme/theme1.xml"/>
</Relationships>
</file>

<file path=word/_rels/header1.xml.rels><?xml version="1.0" encoding="UTF-8"?>
<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897</TotalTime>
  <Application>LibreOffice/7.5.7.1$Windows_X86_64 LibreOffice_project/47eb0cf7efbacdee9b19ae25d6752381ede23126</Application>
  <AppVersion>15.0000</AppVersion>
  <Pages>9</Pages>
  <Words>4267</Words>
  <Characters>24570</Characters>
  <CharactersWithSpaces>28711</CharactersWithSpaces>
  <Paragraphs>230</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Ruth Barbara da Silwa Nascimento</dc:creator>
  <dc:description/>
  <dc:language>pt-BR</dc:language>
  <cp:lastModifiedBy/>
  <cp:lastPrinted>2025-04-30T14:59:03Z</cp:lastPrinted>
  <dcterms:modified xsi:type="dcterms:W3CDTF">2025-05-20T15:11:46Z</dcterms:modified>
  <cp:revision>139</cp:revision>
  <dc:subject/>
  <dc:title/>
</cp:coreProperties>
</file>

<file path=docProps/custom.xml><?xml version="1.0" encoding="utf-8"?>
<Properties xmlns="http://schemas.openxmlformats.org/officeDocument/2006/custom-properties" xmlns:vt="http://schemas.openxmlformats.org/officeDocument/2006/docPropsVTypes"/>
</file>